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Relationships xmlns="http://schemas.openxmlformats.org/package/2006/relationships"><Relationship Id="rId0" Type="http://schemas.openxmlformats.org/officeDocument/2006/relationships/officeDocument" Target="word/document.xml" /><Relationship Id="rId1" Type="http://schemas.openxmlformats.org/package/2006/relationships/metadata/core-properties" Target="docProps/core.xml" /><Relationship Id="rId2" Type="http://schemas.openxmlformats.org/officeDocument/2006/relationships/extended-properties" Target="docProps/app.xml" /></Relationships>
</file>

<file path=word/document.xml><?xml version="1.0" encoding="utf-8"?>
<w:document xmlns:v="urn:schemas-microsoft-com:vml" xmlns:w="http://schemas.openxmlformats.org/wordprocessingml/2006/main" xmlns:o="urn:schemas-microsoft-com:office:office" xmlns:r="http://schemas.openxmlformats.org/officeDocument/2006/relationships">
  <w:body>
    <w:p>
      <w:pPr>
        <w:pStyle w:val="000001"/>
        <w:spacing w:after="156" w:line="600" w:lineRule="exact"/>
        <w:ind/>
        <w:jc w:val="left"/>
        <w:rPr>
          <w:rFonts w:hint="eastAsia" w:ascii="黑体" w:hAnsi="黑体" w:eastAsia="黑体" w:cs="仿宋_GB2312"/>
          <w:color w:val="333333"/>
          <w:sz w:val="28"/>
          <w:szCs w:val="28"/>
          <w:lang w:bidi="ar"/>
        </w:rPr>
      </w:pPr>
      <w:r>
        <w:rPr>
          <w:rFonts w:hint="eastAsia" w:ascii="黑体" w:hAnsi="黑体" w:eastAsia="黑体" w:cs="仿宋_GB2312"/>
          <w:color w:val="333333"/>
          <w:sz w:val="28"/>
          <w:szCs w:val="28"/>
          <w:lang w:bidi="ar"/>
        </w:rPr>
        <w:t>附件2</w:t>
      </w:r>
    </w:p>
    <w:p>
      <w:pPr>
        <w:pStyle w:val="000001"/>
        <w:spacing w:line="640" w:lineRule="exact"/>
        <w:ind/>
        <w:jc w:val="center"/>
        <w:rPr>
          <w:rFonts w:hint="eastAsia" w:ascii="方正小标宋简体" w:hAnsi="方正小标宋简体" w:eastAsia="方正小标宋简体" w:cs="方正小标宋简体"/>
          <w:color w:val="333333"/>
          <w:sz w:val="36"/>
          <w:szCs w:val="36"/>
          <w:lang w:bidi="ar"/>
        </w:rPr>
      </w:pPr>
      <w:r>
        <w:rPr>
          <w:rFonts w:hint="eastAsia" w:ascii="方正小标宋简体" w:hAnsi="方正小标宋简体" w:eastAsia="方正小标宋简体" w:cs="方正小标宋简体"/>
          <w:color w:val="333333"/>
          <w:sz w:val="36"/>
          <w:szCs w:val="36"/>
          <w:lang w:bidi="ar"/>
        </w:rPr>
        <w:t>浙江省林业工程专业正高级工程师职务</w:t>
      </w:r>
    </w:p>
    <w:p>
      <w:pPr>
        <w:pStyle w:val="000001"/>
        <w:spacing w:line="640" w:lineRule="exact"/>
        <w:ind/>
        <w:jc w:val="center"/>
        <w:rPr>
          <w:rFonts w:hint="eastAsia" w:ascii="方正小标宋简体" w:hAnsi="方正小标宋简体" w:eastAsia="方正小标宋简体" w:cs="方正小标宋简体"/>
          <w:color w:val="333333"/>
          <w:sz w:val="36"/>
          <w:szCs w:val="36"/>
          <w:lang w:bidi="ar"/>
        </w:rPr>
      </w:pPr>
      <w:r>
        <w:rPr>
          <w:rFonts w:hint="eastAsia" w:ascii="方正小标宋简体" w:hAnsi="方正小标宋简体" w:eastAsia="方正小标宋简体" w:cs="方正小标宋简体"/>
          <w:color w:val="333333"/>
          <w:sz w:val="36"/>
          <w:szCs w:val="36"/>
          <w:lang w:bidi="ar"/>
        </w:rPr>
        <w:t>任职资格评价条件</w:t>
      </w:r>
    </w:p>
    <w:p>
      <w:pPr>
        <w:pStyle w:val="000001"/>
        <w:spacing w:line="600" w:lineRule="exact"/>
        <w:ind/>
        <w:jc w:val="center"/>
        <w:rPr>
          <w:rFonts w:hint="eastAsia" w:ascii="仿宋_GB2312" w:hAnsi="仿宋_GB2312" w:eastAsia="仿宋_GB2312" w:cs="仿宋_GB2312"/>
          <w:color w:val="000000"/>
          <w:sz w:val="32"/>
          <w:szCs w:val="32"/>
        </w:rPr>
      </w:pPr>
    </w:p>
    <w:p>
      <w:pPr>
        <w:pStyle w:val="000001"/>
        <w:spacing w:after="156" w:line="600" w:lineRule="exact"/>
        <w:ind/>
        <w:jc w:val="center"/>
        <w:rPr>
          <w:rFonts w:hint="eastAsia" w:ascii="黑体" w:hAnsi="黑体" w:eastAsia="黑体" w:cs="仿宋_GB2312"/>
          <w:sz w:val="32"/>
          <w:szCs w:val="32"/>
        </w:rPr>
      </w:pPr>
      <w:r>
        <w:rPr>
          <w:rFonts w:hint="eastAsia" w:ascii="黑体" w:hAnsi="黑体" w:eastAsia="黑体" w:cs="仿宋_GB2312"/>
          <w:sz w:val="32"/>
          <w:szCs w:val="32"/>
          <w:lang w:bidi="ar"/>
        </w:rPr>
        <w:t>第一章  总  则</w:t>
      </w:r>
    </w:p>
    <w:p>
      <w:pPr>
        <w:pStyle w:val="000001"/>
        <w:spacing w:line="580" w:lineRule="exact"/>
        <w:ind w:firstLine="643" w:firstLineChars="200"/>
        <w:rPr>
          <w:rFonts w:hint="eastAsia" w:ascii="仿宋_GB2312" w:eastAsia="仿宋_GB2312" w:cs="仿宋_GB2312"/>
          <w:color w:val="000000"/>
          <w:sz w:val="32"/>
          <w:szCs w:val="32"/>
          <w:lang w:bidi="ar"/>
        </w:rPr>
      </w:pPr>
      <w:r>
        <w:rPr>
          <w:rFonts w:hint="eastAsia" w:ascii="仿宋_GB2312" w:eastAsia="仿宋_GB2312" w:cs="仿宋_GB2312"/>
          <w:b/>
          <w:color w:val="000000"/>
          <w:sz w:val="32"/>
          <w:szCs w:val="32"/>
          <w:lang w:bidi="ar"/>
        </w:rPr>
        <w:t>第一条</w:t>
      </w:r>
      <w:r>
        <w:rPr>
          <w:rFonts w:hint="eastAsia" w:ascii="仿宋_GB2312" w:eastAsia="仿宋_GB2312" w:cs="仿宋_GB2312"/>
          <w:color w:val="000000"/>
          <w:sz w:val="32"/>
          <w:szCs w:val="32"/>
          <w:lang w:bidi="ar"/>
        </w:rPr>
        <w:t xml:space="preserve">  适应现代林业事业的不断发展，加快我省林业工程专业高层次人才队伍建设，充分发挥正高级工程师在林业现代化建设和科技创新中的领军作用，激励广大林业工程技术人员不断进取，根据国家有关职称制度改革的要求和省委办公厅、省政府办公厅《关于深化职称制度改革的实施意见》（浙委办发〔2018〕4号）和省人力资源和社会保障厅、省经济和信息化委员会《关于做好我省正高级工程师职称评聘改革工作的通知》（浙人社发〔2018〕110号）精神，结合我省林业行业特点和工作实际，制订本评价条件。</w:t>
      </w:r>
    </w:p>
    <w:p>
      <w:pPr>
        <w:pStyle w:val="000001"/>
        <w:spacing w:line="580" w:lineRule="exact"/>
        <w:ind w:firstLine="643" w:firstLineChars="200"/>
        <w:rPr>
          <w:rFonts w:hint="eastAsia" w:ascii="仿宋_GB2312" w:eastAsia="仿宋_GB2312" w:cs="仿宋_GB2312"/>
          <w:color w:val="000000"/>
          <w:sz w:val="32"/>
          <w:szCs w:val="32"/>
          <w:lang w:bidi="ar"/>
        </w:rPr>
      </w:pPr>
      <w:r>
        <w:rPr>
          <w:rFonts w:hint="eastAsia" w:ascii="仿宋_GB2312" w:eastAsia="仿宋_GB2312" w:cs="仿宋_GB2312"/>
          <w:b/>
          <w:color w:val="000000"/>
          <w:sz w:val="32"/>
          <w:szCs w:val="32"/>
          <w:lang w:bidi="ar"/>
        </w:rPr>
        <w:t xml:space="preserve">第二条 </w:t>
      </w:r>
      <w:r>
        <w:rPr>
          <w:rFonts w:hint="eastAsia" w:ascii="仿宋_GB2312" w:eastAsia="仿宋_GB2312" w:cs="仿宋_GB2312"/>
          <w:color w:val="000000"/>
          <w:sz w:val="32"/>
          <w:szCs w:val="32"/>
          <w:lang w:bidi="ar"/>
        </w:rPr>
        <w:t xml:space="preserve"> 林业工程专业正高级工程师职务任职资格是根据人力资源社会保障部《关于在部分职称系列设置正高级职称有关问题的通知》精神，为更加客观公正地评价高级工程技术人员的水平和能力，及其在工程技术领域做出的优异成绩所设置的。</w:t>
      </w:r>
    </w:p>
    <w:p>
      <w:pPr>
        <w:pStyle w:val="000001"/>
        <w:spacing w:line="580" w:lineRule="exact"/>
        <w:ind w:firstLine="643" w:firstLineChars="200"/>
        <w:jc w:val="distribute"/>
        <w:rPr>
          <w:rFonts w:hint="eastAsia" w:ascii="仿宋_GB2312" w:eastAsia="仿宋_GB2312" w:cs="仿宋_GB2312"/>
          <w:color w:val="000000"/>
          <w:sz w:val="32"/>
          <w:szCs w:val="32"/>
          <w:lang w:bidi="ar"/>
        </w:rPr>
      </w:pPr>
      <w:r>
        <w:rPr>
          <w:rFonts w:hint="eastAsia" w:ascii="仿宋_GB2312" w:eastAsia="仿宋_GB2312" w:cs="仿宋_GB2312"/>
          <w:b/>
          <w:color w:val="000000"/>
          <w:sz w:val="32"/>
          <w:szCs w:val="32"/>
          <w:lang w:bidi="ar"/>
        </w:rPr>
        <w:t xml:space="preserve">第三条  </w:t>
      </w:r>
      <w:r>
        <w:rPr>
          <w:rFonts w:hint="eastAsia" w:ascii="仿宋_GB2312" w:eastAsia="仿宋_GB2312" w:cs="仿宋_GB2312"/>
          <w:color w:val="000000"/>
          <w:sz w:val="32"/>
          <w:szCs w:val="32"/>
          <w:lang w:bidi="ar"/>
        </w:rPr>
        <w:t>本评价条件适用于我省林业行业从事森林培育、生态保护修复、调查规划、综合开发利用等工作的专业技术人员申</w:t>
      </w:r>
    </w:p>
    <w:p>
      <w:pPr>
        <w:pStyle w:val="000001"/>
        <w:spacing w:line="580" w:lineRule="exact"/>
        <w:ind/>
        <w:jc w:val="distribute"/>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报林业专业正高级工程师职务任职资格的评价，其中事业单位人</w:t>
      </w:r>
    </w:p>
    <w:p>
      <w:pPr>
        <w:pStyle w:val="00000c"/>
        <w:widowControl w:val="false"/>
        <w:spacing w:before="62" w:beforeAutospacing="false" w:after="0" w:afterAutospacing="false" w:line="580" w:lineRule="exact"/>
        <w:ind w:firstLine="7980" w:firstLineChars="2850"/>
        <w:jc w:val="both"/>
        <w:rPr>
          <w:rFonts w:ascii="仿宋_GB2312" w:eastAsia="仿宋_GB2312" w:cs="仿宋_GB2312"/>
          <w:color w:val="000000"/>
          <w:sz w:val="28"/>
          <w:szCs w:val="28"/>
          <w:lang w:bidi="ar"/>
        </w:rPr>
      </w:pPr>
      <w:r>
        <w:rPr>
          <w:rFonts w:ascii="仿宋_GB2312" w:eastAsia="仿宋_GB2312" w:cs="仿宋_GB2312"/>
          <w:color w:val="000000"/>
          <w:sz w:val="28"/>
          <w:szCs w:val="28"/>
          <w:lang w:bidi="ar"/>
        </w:rPr>
        <w:t>—</w:t>
      </w:r>
      <w:r>
        <w:rPr>
          <w:rFonts w:hint="eastAsia" w:ascii="仿宋_GB2312" w:eastAsia="仿宋_GB2312" w:cs="仿宋_GB2312"/>
          <w:color w:val="000000"/>
          <w:sz w:val="28"/>
          <w:szCs w:val="28"/>
          <w:lang w:val="en-US" w:eastAsia="zh-CN" w:bidi="ar"/>
        </w:rPr>
        <w:t>1</w:t>
      </w:r>
      <w:r>
        <w:rPr>
          <w:rFonts w:ascii="仿宋_GB2312" w:eastAsia="仿宋_GB2312" w:cs="仿宋_GB2312"/>
          <w:color w:val="000000"/>
          <w:sz w:val="28"/>
          <w:szCs w:val="28"/>
          <w:lang w:bidi="ar"/>
        </w:rPr>
        <w:t>—</w:t>
      </w:r>
    </w:p>
    <w:p>
      <w:pPr>
        <w:pStyle w:val="000001"/>
        <w:spacing w:line="580" w:lineRule="exact"/>
        <w:ind/>
        <w:rPr>
          <w:rFonts w:hint="eastAsia" w:ascii="仿宋_GB2312" w:eastAsia="仿宋_GB2312" w:cs="仿宋_GB2312"/>
          <w:color w:val="000000"/>
          <w:sz w:val="32"/>
          <w:szCs w:val="32"/>
        </w:rPr>
      </w:pPr>
      <w:r>
        <w:rPr>
          <w:rFonts w:hint="eastAsia" w:ascii="仿宋_GB2312" w:eastAsia="仿宋_GB2312" w:cs="仿宋_GB2312"/>
          <w:color w:val="000000"/>
          <w:sz w:val="32"/>
          <w:szCs w:val="32"/>
          <w:lang w:bidi="ar"/>
        </w:rPr>
        <w:t>员应按照评聘结合原则执行。</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（一）森林培育：指森林资源培育、森林经营、林木种苗繁育、林下经济植物培育、林业有害生物防治、园林绿化、花卉园艺、森林（湿地）景观等工作。</w:t>
      </w:r>
    </w:p>
    <w:p>
      <w:pPr>
        <w:pStyle w:val="000001"/>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lang w:bidi="ar"/>
        </w:rPr>
        <w:t>（二）生态保护修复：指各类自然保护地管护、自然资源生态修复、野生动植物保护及繁育、水土保持和治理、自然景观资源保护和利用、森林防火等工作。</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（三）调查规划：指森林、湿地和野生动植物资源等调查和监测，林业区域发展、产业发展、森林采运、林区道路、园林工</w:t>
      </w:r>
    </w:p>
    <w:p>
      <w:pPr>
        <w:pStyle w:val="000001"/>
        <w:spacing w:line="580" w:lineRule="exact"/>
        <w:ind/>
        <w:rPr>
          <w:rFonts w:hint="eastAsia" w:ascii="仿宋_GB2312" w:eastAsia="仿宋_GB2312" w:cs="仿宋_GB2312"/>
          <w:color w:val="ff0000"/>
          <w:sz w:val="32"/>
          <w:szCs w:val="32"/>
        </w:rPr>
      </w:pPr>
      <w:r>
        <w:rPr>
          <w:rFonts w:hint="eastAsia" w:ascii="仿宋_GB2312" w:eastAsia="仿宋_GB2312" w:cs="仿宋_GB2312"/>
          <w:color w:val="000000"/>
          <w:sz w:val="32"/>
          <w:szCs w:val="32"/>
          <w:lang w:bidi="ar"/>
        </w:rPr>
        <w:t>程、自然保护地建设、自然景观利用和生态旅游休闲等规划设计，以及林业资源认证和评估、林业工程造价、林业工程监理等工作。</w:t>
      </w:r>
    </w:p>
    <w:p>
      <w:pPr>
        <w:pStyle w:val="000001"/>
        <w:numPr>
          <w:ilvl w:val="0"/>
          <w:numId w:val="1"/>
        </w:numPr>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综合开发利用：指木竹材加工和利用，森林产（食）品、林产化工产品开发利用，林业信息技术，林产品质量检测，森林资源和产品论证评估、风险评价，林业机械装备制造和自然资源旅游休闲开发等工作。</w:t>
      </w:r>
    </w:p>
    <w:p>
      <w:pPr>
        <w:pStyle w:val="000001"/>
        <w:spacing w:line="580" w:lineRule="exact"/>
        <w:ind w:firstLine="643" w:firstLineChars="200"/>
        <w:rPr>
          <w:rFonts w:hint="eastAsia" w:ascii="仿宋_GB2312" w:eastAsia="仿宋_GB2312" w:cs="仿宋_GB2312"/>
          <w:color w:val="000000"/>
          <w:sz w:val="32"/>
          <w:szCs w:val="32"/>
        </w:rPr>
      </w:pPr>
      <w:r>
        <w:rPr>
          <w:rFonts w:hint="eastAsia" w:ascii="仿宋_GB2312" w:eastAsia="仿宋_GB2312" w:cs="仿宋_GB2312"/>
          <w:b/>
          <w:color w:val="000000"/>
          <w:sz w:val="32"/>
          <w:szCs w:val="32"/>
          <w:lang w:bidi="ar"/>
        </w:rPr>
        <w:t>第四条</w:t>
      </w:r>
      <w:r>
        <w:rPr>
          <w:rFonts w:hint="eastAsia" w:ascii="仿宋_GB2312" w:eastAsia="仿宋_GB2312" w:cs="仿宋_GB2312"/>
          <w:color w:val="000000"/>
          <w:sz w:val="32"/>
          <w:szCs w:val="32"/>
          <w:lang w:bidi="ar"/>
        </w:rPr>
        <w:t xml:space="preserve">  按照本评价条件评审通过，并获得林业工程专业正高级工程师职务任职资格证书者，表明其具有相应的专业技术水平和能力，作为聘任林业工程专业正高级工程师职务的重要依据。</w:t>
      </w:r>
    </w:p>
    <w:p>
      <w:pPr>
        <w:pStyle w:val="000001"/>
        <w:spacing w:before="312" w:after="156" w:line="600" w:lineRule="exact"/>
        <w:ind/>
        <w:jc w:val="center"/>
        <w:rPr>
          <w:rFonts w:hint="eastAsia" w:ascii="黑体" w:hAnsi="黑体" w:eastAsia="黑体" w:cs="仿宋_GB2312"/>
          <w:sz w:val="32"/>
          <w:szCs w:val="32"/>
        </w:rPr>
      </w:pPr>
      <w:r>
        <w:rPr>
          <w:rFonts w:hint="eastAsia" w:ascii="黑体" w:hAnsi="黑体" w:eastAsia="黑体" w:cs="仿宋_GB2312"/>
          <w:sz w:val="32"/>
          <w:szCs w:val="32"/>
          <w:lang w:bidi="ar"/>
        </w:rPr>
        <w:t>第二章  申报条件</w:t>
      </w:r>
    </w:p>
    <w:p>
      <w:pPr>
        <w:pStyle w:val="00000c"/>
        <w:widowControl w:val="false"/>
        <w:spacing w:before="0" w:beforeAutospacing="false" w:after="0" w:afterAutospacing="false" w:line="600" w:lineRule="exact"/>
        <w:ind w:firstLine="645"/>
        <w:jc w:val="both"/>
        <w:rPr>
          <w:rFonts w:ascii="仿宋_GB2312" w:hAnsi="Calibri" w:eastAsia="仿宋_GB2312"/>
          <w:b/>
          <w:color w:val="000000"/>
          <w:kern w:val="2"/>
          <w:sz w:val="32"/>
          <w:szCs w:val="32"/>
        </w:rPr>
      </w:pPr>
      <w:r>
        <w:rPr>
          <w:rFonts w:ascii="仿宋_GB2312" w:hAnsi="Calibri" w:eastAsia="仿宋_GB2312"/>
          <w:b/>
          <w:color w:val="000000"/>
          <w:kern w:val="2"/>
          <w:sz w:val="32"/>
          <w:szCs w:val="32"/>
        </w:rPr>
        <w:t>第五条  思想道德条件</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评审对象应遵守《中华人民共和国宪法》和有关法律法规，</w:t>
      </w:r>
    </w:p>
    <w:p>
      <w:pPr>
        <w:pStyle w:val="00000c"/>
        <w:widowControl w:val="false"/>
        <w:spacing w:before="0" w:beforeAutospacing="false" w:after="0" w:afterAutospacing="false" w:line="580" w:lineRule="exact"/>
        <w:ind w:firstLine="280" w:firstLineChars="100"/>
        <w:jc w:val="right"/>
        <w:rPr>
          <w:rFonts w:ascii="仿宋_GB2312" w:eastAsia="仿宋_GB2312" w:cs="仿宋_GB2312"/>
          <w:color w:val="000000"/>
          <w:sz w:val="28"/>
          <w:szCs w:val="28"/>
          <w:lang w:bidi="ar"/>
        </w:rPr>
      </w:pPr>
      <w:r>
        <w:rPr>
          <w:rFonts w:ascii="仿宋_GB2312" w:eastAsia="仿宋_GB2312" w:cs="仿宋_GB2312"/>
          <w:color w:val="000000"/>
          <w:sz w:val="28"/>
          <w:szCs w:val="28"/>
          <w:lang w:bidi="ar"/>
        </w:rPr>
        <w:t>—</w:t>
      </w:r>
      <w:r>
        <w:rPr>
          <w:rFonts w:hint="eastAsia" w:ascii="仿宋_GB2312" w:eastAsia="仿宋_GB2312" w:cs="仿宋_GB2312"/>
          <w:color w:val="000000"/>
          <w:sz w:val="28"/>
          <w:szCs w:val="28"/>
          <w:lang w:val="en-US" w:eastAsia="zh-CN" w:bidi="ar"/>
        </w:rPr>
        <w:t>2</w:t>
      </w:r>
      <w:r>
        <w:rPr>
          <w:rFonts w:ascii="仿宋_GB2312" w:eastAsia="仿宋_GB2312" w:cs="仿宋_GB2312"/>
          <w:color w:val="000000"/>
          <w:sz w:val="28"/>
          <w:szCs w:val="28"/>
          <w:lang w:bidi="ar"/>
        </w:rPr>
        <w:t>—</w:t>
      </w:r>
    </w:p>
    <w:p>
      <w:pPr>
        <w:pStyle w:val="00000c"/>
        <w:widowControl w:val="false"/>
        <w:spacing w:before="0" w:beforeAutospacing="false" w:after="0" w:afterAutospacing="false" w:line="580" w:lineRule="exact"/>
        <w:ind/>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具有良好的职业道德、学术修养和敬业精神,热爱本职工作，认真履行岗位职责，积极为林业现代化建设事业服务。</w:t>
      </w:r>
    </w:p>
    <w:p>
      <w:pPr>
        <w:pStyle w:val="00000c"/>
        <w:widowControl w:val="false"/>
        <w:spacing w:before="0" w:beforeAutospacing="false" w:after="0" w:afterAutospacing="false" w:line="580" w:lineRule="exact"/>
        <w:ind w:right="-143" w:rightChars="-68" w:firstLine="645"/>
        <w:jc w:val="both"/>
        <w:rPr>
          <w:rFonts w:ascii="仿宋_GB2312" w:hAnsi="Calibri" w:eastAsia="仿宋_GB2312"/>
          <w:b/>
          <w:color w:val="000000"/>
          <w:kern w:val="2"/>
          <w:sz w:val="32"/>
          <w:szCs w:val="32"/>
        </w:rPr>
      </w:pPr>
      <w:r>
        <w:rPr>
          <w:rFonts w:ascii="仿宋_GB2312" w:hAnsi="Calibri" w:eastAsia="仿宋_GB2312"/>
          <w:b/>
          <w:color w:val="000000"/>
          <w:kern w:val="2"/>
          <w:sz w:val="32"/>
          <w:szCs w:val="32"/>
        </w:rPr>
        <w:t>第六条  资历条件</w:t>
      </w:r>
    </w:p>
    <w:p>
      <w:pPr>
        <w:pStyle w:val="00000c"/>
        <w:widowControl w:val="false"/>
        <w:spacing w:before="0" w:beforeAutospacing="false" w:after="0" w:afterAutospacing="false" w:line="580" w:lineRule="exact"/>
        <w:ind w:right="-143" w:rightChars="-68"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申报</w:t>
      </w:r>
      <w:r>
        <w:rPr>
          <w:rFonts w:ascii="仿宋_GB2312" w:eastAsia="仿宋_GB2312" w:cs="仿宋_GB2312"/>
          <w:color w:val="000000"/>
          <w:sz w:val="32"/>
          <w:szCs w:val="32"/>
          <w:lang w:bidi="ar"/>
        </w:rPr>
        <w:t>林业工程专业正高级工程师职务</w:t>
      </w:r>
      <w:r>
        <w:rPr>
          <w:rFonts w:ascii="仿宋_GB2312" w:hAnsi="Calibri" w:eastAsia="仿宋_GB2312"/>
          <w:color w:val="000000"/>
          <w:kern w:val="2"/>
          <w:sz w:val="32"/>
          <w:szCs w:val="32"/>
        </w:rPr>
        <w:t>任职资格，需具备下列条件之一：</w:t>
      </w:r>
    </w:p>
    <w:p>
      <w:pPr>
        <w:pStyle w:val="00000c"/>
        <w:widowControl w:val="false"/>
        <w:numPr>
          <w:ilvl w:val="0"/>
          <w:numId w:val="2"/>
        </w:numPr>
        <w:spacing w:before="0" w:beforeAutospacing="false" w:after="0" w:afterAutospacing="false" w:line="580" w:lineRule="exact"/>
        <w:ind w:right="-143" w:rightChars="-68"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取得林业专业高级工程师职务任职资格后，实际聘任高级工程师职务5年以上；</w:t>
      </w:r>
    </w:p>
    <w:p>
      <w:pPr>
        <w:pStyle w:val="00000c"/>
        <w:widowControl w:val="false"/>
        <w:numPr>
          <w:ilvl w:val="0"/>
          <w:numId w:val="2"/>
        </w:numPr>
        <w:spacing w:before="0" w:beforeAutospacing="false" w:after="0" w:afterAutospacing="false" w:line="580" w:lineRule="exact"/>
        <w:ind w:right="-143" w:rightChars="-68"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具有副教授、副研究员或非林业专业高级工程师等高级专业技术职务任职资格人员，需转评林业专业高级工程师职务任职资格后，实际聘任高级工程师职务1年以上，且取得副教授、副研究员或非林业专业高级工程师等职务任职资格后的任职年限与取得林业专业高级工程师资格后的任职年限累计相加满5年以上；</w:t>
      </w:r>
    </w:p>
    <w:p>
      <w:pPr>
        <w:pStyle w:val="000001"/>
        <w:numPr>
          <w:ilvl w:val="0"/>
          <w:numId w:val="2"/>
        </w:numPr>
        <w:spacing w:line="580" w:lineRule="exact"/>
        <w:ind w:firstLine="64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取得1项标志性业绩成果的林业专业高级工程师或取得2项以上标志性业绩成果特别优秀的林业工程人才；</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标志性成果是指：</w:t>
      </w:r>
    </w:p>
    <w:p>
      <w:pPr>
        <w:pStyle w:val="000001"/>
        <w:numPr>
          <w:ilvl w:val="0"/>
          <w:numId w:val="3"/>
        </w:numPr>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获得林业专业相关国家级科技成果奖二等奖以上主要技术完成人的；</w:t>
      </w:r>
    </w:p>
    <w:p>
      <w:pPr>
        <w:pStyle w:val="000001"/>
        <w:numPr>
          <w:ilvl w:val="0"/>
          <w:numId w:val="3"/>
        </w:numPr>
        <w:spacing w:line="580" w:lineRule="exact"/>
        <w:ind w:firstLine="640" w:firstLineChars="200"/>
        <w:rPr>
          <w:rFonts w:hint="eastAsia" w:ascii="宋体" w:hAnsi="宋体" w:cs="宋体"/>
          <w:color w:val="000000"/>
          <w:sz w:val="32"/>
          <w:szCs w:val="32"/>
        </w:rPr>
      </w:pPr>
      <w:r>
        <w:rPr>
          <w:rFonts w:hint="eastAsia" w:ascii="仿宋_GB2312" w:eastAsia="仿宋_GB2312" w:cs="仿宋_GB2312"/>
          <w:color w:val="000000"/>
          <w:sz w:val="32"/>
          <w:szCs w:val="32"/>
          <w:lang w:bidi="ar"/>
        </w:rPr>
        <w:t>获得林业专业相关省(部)级科技成果奖二等奖以上主要技术负责人，</w:t>
      </w:r>
      <w:r>
        <w:rPr>
          <w:rFonts w:ascii="仿宋_GB2312" w:eastAsia="仿宋_GB2312" w:cs="仿宋_GB2312"/>
          <w:color w:val="000000"/>
          <w:sz w:val="32"/>
          <w:szCs w:val="32"/>
          <w:lang w:bidi="ar"/>
        </w:rPr>
        <w:t>或县</w:t>
      </w:r>
      <w:r>
        <w:rPr>
          <w:rFonts w:hint="eastAsia" w:ascii="仿宋_GB2312" w:eastAsia="仿宋_GB2312" w:cs="仿宋_GB2312"/>
          <w:color w:val="000000"/>
          <w:sz w:val="32"/>
          <w:szCs w:val="32"/>
          <w:lang w:bidi="ar"/>
        </w:rPr>
        <w:t>级</w:t>
      </w:r>
      <w:r>
        <w:rPr>
          <w:rFonts w:ascii="仿宋_GB2312" w:eastAsia="仿宋_GB2312" w:cs="仿宋_GB2312"/>
          <w:color w:val="000000"/>
          <w:sz w:val="32"/>
          <w:szCs w:val="32"/>
          <w:lang w:bidi="ar"/>
        </w:rPr>
        <w:t>以下基层人员</w:t>
      </w:r>
      <w:r>
        <w:rPr>
          <w:rFonts w:hint="eastAsia" w:ascii="仿宋_GB2312" w:eastAsia="仿宋_GB2312" w:cs="仿宋_GB2312"/>
          <w:color w:val="000000"/>
          <w:sz w:val="32"/>
          <w:szCs w:val="32"/>
          <w:lang w:bidi="ar"/>
        </w:rPr>
        <w:t>获省(部)级科技成果奖三等奖主持人的；</w:t>
      </w:r>
    </w:p>
    <w:p>
      <w:pPr>
        <w:pStyle w:val="00000c"/>
        <w:widowControl w:val="false"/>
        <w:numPr>
          <w:ilvl w:val="0"/>
          <w:numId w:val="3"/>
        </w:numPr>
        <w:spacing w:before="0" w:beforeAutospacing="false" w:after="0" w:afterAutospacing="false" w:line="580" w:lineRule="exact"/>
        <w:ind w:firstLine="640" w:firstLineChars="200"/>
        <w:jc w:val="both"/>
        <w:rPr>
          <w:rFonts w:ascii="仿宋_GB2312" w:eastAsia="仿宋_GB2312" w:cs="仿宋_GB2312"/>
          <w:color w:val="000000"/>
          <w:sz w:val="32"/>
          <w:szCs w:val="32"/>
        </w:rPr>
      </w:pPr>
      <w:r>
        <w:rPr>
          <w:rFonts w:ascii="仿宋_GB2312" w:eastAsia="仿宋_GB2312" w:cs="仿宋_GB2312"/>
          <w:color w:val="000000"/>
          <w:sz w:val="32"/>
          <w:szCs w:val="32"/>
        </w:rPr>
        <w:t>主持制订林业相关国际标准、国家标准2项以上或行业标准、省级地方标准3项以上的；</w:t>
      </w:r>
    </w:p>
    <w:p>
      <w:pPr>
        <w:pStyle w:val="00000c"/>
        <w:widowControl w:val="false"/>
        <w:spacing w:before="0" w:beforeAutospacing="false" w:after="0" w:afterAutospacing="false" w:line="580" w:lineRule="exact"/>
        <w:ind w:firstLine="7980" w:firstLineChars="2850"/>
        <w:jc w:val="both"/>
        <w:rPr>
          <w:rFonts w:ascii="仿宋_GB2312" w:eastAsia="仿宋_GB2312" w:cs="仿宋_GB2312"/>
          <w:color w:val="000000"/>
          <w:sz w:val="28"/>
          <w:szCs w:val="28"/>
          <w:lang w:bidi="ar"/>
        </w:rPr>
      </w:pPr>
      <w:r>
        <w:rPr>
          <w:rFonts w:ascii="仿宋_GB2312" w:eastAsia="仿宋_GB2312" w:cs="仿宋_GB2312"/>
          <w:color w:val="000000"/>
          <w:sz w:val="28"/>
          <w:szCs w:val="28"/>
          <w:lang w:bidi="ar"/>
        </w:rPr>
        <w:t>—</w:t>
      </w:r>
      <w:r>
        <w:rPr>
          <w:rFonts w:hint="eastAsia" w:ascii="仿宋_GB2312" w:eastAsia="仿宋_GB2312" w:cs="仿宋_GB2312"/>
          <w:color w:val="000000"/>
          <w:sz w:val="28"/>
          <w:szCs w:val="28"/>
          <w:lang w:val="en-US" w:eastAsia="zh-CN" w:bidi="ar"/>
        </w:rPr>
        <w:t>3</w:t>
      </w:r>
      <w:r>
        <w:rPr>
          <w:rFonts w:ascii="仿宋_GB2312" w:eastAsia="仿宋_GB2312" w:cs="仿宋_GB2312"/>
          <w:color w:val="000000"/>
          <w:sz w:val="28"/>
          <w:szCs w:val="28"/>
          <w:lang w:bidi="ar"/>
        </w:rPr>
        <w:t>—</w:t>
      </w:r>
    </w:p>
    <w:p>
      <w:pPr>
        <w:pStyle w:val="00000c"/>
        <w:widowControl w:val="false"/>
        <w:spacing w:before="0" w:beforeAutospacing="false" w:after="0" w:afterAutospacing="false" w:line="580" w:lineRule="exact"/>
        <w:ind w:firstLine="640" w:firstLineChars="200"/>
        <w:jc w:val="both"/>
        <w:rPr>
          <w:rFonts w:ascii="仿宋_GB2312" w:eastAsia="仿宋_GB2312" w:cs="仿宋_GB2312"/>
          <w:color w:val="000000"/>
          <w:sz w:val="32"/>
          <w:szCs w:val="32"/>
        </w:rPr>
      </w:pPr>
      <w:r>
        <w:rPr>
          <w:rFonts w:ascii="仿宋_GB2312" w:eastAsia="仿宋_GB2312" w:cs="仿宋_GB2312"/>
          <w:color w:val="000000"/>
          <w:sz w:val="32"/>
          <w:szCs w:val="32"/>
        </w:rPr>
        <w:t>4.主持林业相关国家发明专利、国家级林木良种审定3项以上的，或新品种授权、省级林木良种审定5项以上的。</w:t>
      </w:r>
    </w:p>
    <w:p>
      <w:pPr>
        <w:pStyle w:val="00000c"/>
        <w:widowControl w:val="false"/>
        <w:spacing w:before="0" w:beforeAutospacing="false" w:after="0" w:afterAutospacing="false" w:line="580" w:lineRule="exact"/>
        <w:ind w:firstLine="640" w:firstLineChars="200"/>
        <w:jc w:val="both"/>
        <w:rPr>
          <w:rFonts w:ascii="仿宋_GB2312" w:eastAsia="仿宋_GB2312" w:cs="仿宋_GB2312"/>
          <w:color w:val="000000"/>
          <w:sz w:val="32"/>
          <w:szCs w:val="32"/>
        </w:rPr>
      </w:pPr>
      <w:r>
        <w:rPr>
          <w:rFonts w:ascii="仿宋_GB2312" w:eastAsia="仿宋_GB2312" w:cs="仿宋_GB2312"/>
          <w:color w:val="000000"/>
          <w:sz w:val="32"/>
          <w:szCs w:val="32"/>
        </w:rPr>
        <w:t>（四）在我省林业工程技术领域生产一线岗位，从事技术技能工作，具有高超技艺和精湛技能，能够进行创造性劳动，并且为世界技能大赛金牌获得者、中华技能大奖获得者、享受国务院政府特殊津贴的人员。</w:t>
      </w:r>
    </w:p>
    <w:p>
      <w:pPr>
        <w:pStyle w:val="00000c"/>
        <w:widowControl w:val="false"/>
        <w:spacing w:before="0" w:beforeAutospacing="false" w:after="0" w:afterAutospacing="false" w:line="580" w:lineRule="exact"/>
        <w:ind w:firstLine="645"/>
        <w:jc w:val="both"/>
        <w:rPr>
          <w:rFonts w:ascii="仿宋_GB2312" w:hAnsi="Times New Roman" w:eastAsia="仿宋_GB2312"/>
          <w:color w:val="000000"/>
          <w:sz w:val="32"/>
          <w:szCs w:val="32"/>
        </w:rPr>
      </w:pPr>
      <w:r>
        <w:rPr>
          <w:rFonts w:ascii="仿宋_GB2312" w:hAnsi="Calibri" w:eastAsia="仿宋_GB2312"/>
          <w:b/>
          <w:color w:val="000000"/>
          <w:kern w:val="2"/>
          <w:sz w:val="32"/>
          <w:szCs w:val="32"/>
        </w:rPr>
        <w:t>第七条</w:t>
      </w:r>
      <w:r>
        <w:rPr>
          <w:rFonts w:ascii="仿宋_GB2312" w:hAnsi="Times New Roman" w:eastAsia="仿宋_GB2312"/>
          <w:color w:val="000000"/>
          <w:sz w:val="32"/>
          <w:szCs w:val="32"/>
        </w:rPr>
        <w:t xml:space="preserve">  </w:t>
      </w:r>
      <w:r>
        <w:rPr>
          <w:rFonts w:ascii="仿宋_GB2312" w:hAnsi="Calibri" w:eastAsia="仿宋_GB2312"/>
          <w:b/>
          <w:color w:val="000000"/>
          <w:kern w:val="2"/>
          <w:sz w:val="32"/>
          <w:szCs w:val="32"/>
        </w:rPr>
        <w:t>其他条件</w:t>
      </w:r>
    </w:p>
    <w:p>
      <w:pPr>
        <w:pStyle w:val="00000c"/>
        <w:widowControl w:val="false"/>
        <w:spacing w:before="0" w:beforeAutospacing="false" w:after="0" w:afterAutospacing="false" w:line="580" w:lineRule="exact"/>
        <w:ind w:firstLine="645"/>
        <w:jc w:val="both"/>
        <w:rPr>
          <w:rFonts w:ascii="仿宋_GB2312" w:eastAsia="仿宋_GB2312" w:cs="仿宋_GB2312"/>
          <w:color w:val="000000"/>
          <w:sz w:val="32"/>
          <w:szCs w:val="32"/>
        </w:rPr>
      </w:pPr>
      <w:r>
        <w:rPr>
          <w:rFonts w:ascii="仿宋_GB2312" w:hAnsi="Calibri" w:eastAsia="仿宋_GB2312"/>
          <w:color w:val="000000"/>
          <w:kern w:val="2"/>
          <w:sz w:val="32"/>
          <w:szCs w:val="32"/>
        </w:rPr>
        <w:t>（一）年度考核等次要求。评审对象近5年年度考核为合格（或称职）以</w:t>
      </w:r>
      <w:r>
        <w:rPr>
          <w:rFonts w:ascii="仿宋_GB2312" w:eastAsia="仿宋_GB2312" w:cs="仿宋_GB2312"/>
          <w:color w:val="000000"/>
          <w:sz w:val="32"/>
          <w:szCs w:val="32"/>
        </w:rPr>
        <w:t>上。</w:t>
      </w:r>
    </w:p>
    <w:p>
      <w:pPr>
        <w:pStyle w:val="00000c"/>
        <w:widowControl w:val="false"/>
        <w:spacing w:before="0" w:beforeAutospacing="false" w:after="0" w:afterAutospacing="false" w:line="58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（二）继续教育要求。评审对象应按要求参加继续教育，并达到专业技术人员继续教育相应学时规定。</w:t>
      </w:r>
    </w:p>
    <w:p>
      <w:pPr>
        <w:pStyle w:val="000001"/>
        <w:spacing w:before="312" w:after="156" w:line="600" w:lineRule="exact"/>
        <w:ind/>
        <w:jc w:val="center"/>
        <w:rPr>
          <w:rFonts w:hint="eastAsia" w:ascii="黑体" w:hAnsi="黑体" w:eastAsia="黑体" w:cs="仿宋_GB2312"/>
          <w:sz w:val="32"/>
          <w:szCs w:val="32"/>
        </w:rPr>
      </w:pPr>
      <w:r>
        <w:rPr>
          <w:rFonts w:hint="eastAsia" w:ascii="黑体" w:hAnsi="黑体" w:eastAsia="黑体" w:cs="仿宋_GB2312"/>
          <w:sz w:val="32"/>
          <w:szCs w:val="32"/>
          <w:lang w:bidi="ar"/>
        </w:rPr>
        <w:t>第三章  评审条件</w:t>
      </w:r>
    </w:p>
    <w:p>
      <w:pPr>
        <w:pStyle w:val="00000c"/>
        <w:widowControl w:val="false"/>
        <w:spacing w:before="0" w:beforeAutospacing="false" w:after="0" w:afterAutospacing="false" w:line="580" w:lineRule="exact"/>
        <w:ind w:firstLine="645"/>
        <w:jc w:val="both"/>
        <w:rPr>
          <w:rFonts w:ascii="仿宋_GB2312" w:hAnsi="Calibri" w:eastAsia="仿宋_GB2312"/>
          <w:color w:val="000000"/>
          <w:spacing w:val="-2"/>
          <w:kern w:val="2"/>
          <w:sz w:val="32"/>
          <w:szCs w:val="32"/>
        </w:rPr>
      </w:pPr>
      <w:r>
        <w:rPr>
          <w:rFonts w:ascii="仿宋_GB2312" w:hAnsi="Calibri" w:eastAsia="仿宋_GB2312"/>
          <w:b/>
          <w:color w:val="000000"/>
          <w:kern w:val="2"/>
          <w:sz w:val="32"/>
          <w:szCs w:val="32"/>
        </w:rPr>
        <w:t>第八条</w:t>
      </w:r>
      <w:r>
        <w:rPr>
          <w:rFonts w:ascii="仿宋_GB2312" w:hAnsi="Calibri" w:eastAsia="仿宋_GB2312"/>
          <w:color w:val="000000"/>
          <w:kern w:val="2"/>
          <w:sz w:val="32"/>
          <w:szCs w:val="32"/>
        </w:rPr>
        <w:t xml:space="preserve">  评审对象</w:t>
      </w:r>
      <w:r>
        <w:rPr>
          <w:rFonts w:ascii="仿宋_GB2312" w:hAnsi="Calibri" w:eastAsia="仿宋_GB2312"/>
          <w:color w:val="000000"/>
          <w:spacing w:val="-2"/>
          <w:kern w:val="2"/>
          <w:sz w:val="32"/>
          <w:szCs w:val="32"/>
        </w:rPr>
        <w:t>除具备第二章规定的基本条件外，还须达到相应评审条件。</w:t>
      </w:r>
    </w:p>
    <w:p>
      <w:pPr>
        <w:pStyle w:val="00000c"/>
        <w:widowControl w:val="false"/>
        <w:spacing w:before="0" w:beforeAutospacing="false" w:after="0" w:afterAutospacing="false" w:line="580" w:lineRule="exact"/>
        <w:ind w:firstLine="645"/>
        <w:jc w:val="both"/>
        <w:rPr>
          <w:rFonts w:ascii="仿宋_GB2312" w:hAnsi="Calibri" w:eastAsia="仿宋_GB2312"/>
          <w:color w:val="974706"/>
          <w:kern w:val="2"/>
          <w:sz w:val="32"/>
          <w:szCs w:val="32"/>
        </w:rPr>
      </w:pPr>
      <w:r>
        <w:rPr>
          <w:rFonts w:ascii="仿宋_GB2312" w:hAnsi="Calibri" w:eastAsia="仿宋_GB2312"/>
          <w:b/>
          <w:color w:val="000000"/>
          <w:kern w:val="2"/>
          <w:sz w:val="32"/>
          <w:szCs w:val="32"/>
        </w:rPr>
        <w:t>第九条</w:t>
      </w:r>
      <w:r>
        <w:rPr>
          <w:rFonts w:ascii="仿宋_GB2312" w:hAnsi="Calibri" w:eastAsia="仿宋_GB2312"/>
          <w:color w:val="000000"/>
          <w:kern w:val="2"/>
          <w:sz w:val="32"/>
          <w:szCs w:val="32"/>
        </w:rPr>
        <w:t xml:space="preserve">  </w:t>
      </w:r>
      <w:r>
        <w:rPr>
          <w:rFonts w:ascii="仿宋_GB2312" w:hAnsi="Calibri" w:eastAsia="仿宋_GB2312"/>
          <w:b/>
          <w:bCs/>
          <w:color w:val="000000"/>
          <w:kern w:val="2"/>
          <w:sz w:val="32"/>
          <w:szCs w:val="32"/>
        </w:rPr>
        <w:t>专业理论水平</w:t>
      </w:r>
    </w:p>
    <w:p>
      <w:pPr>
        <w:pStyle w:val="00000c"/>
        <w:widowControl w:val="false"/>
        <w:spacing w:before="0" w:beforeAutospacing="false" w:after="0" w:afterAutospacing="false" w:line="58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（一）具有系统、扎实的本专业理论知识，具备跟踪本专业国内外科技发展前沿的学识水平和科技创新能力；</w:t>
      </w:r>
    </w:p>
    <w:p>
      <w:pPr>
        <w:pStyle w:val="00000c"/>
        <w:widowControl w:val="false"/>
        <w:spacing w:before="0" w:beforeAutospacing="false" w:after="0" w:afterAutospacing="false" w:line="58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（二）对所从事的专业有深入的研究和独到的见解，在本系统的专家中有较高的知名度和学术影响力，为本专业学术带头人；</w:t>
      </w:r>
    </w:p>
    <w:p>
      <w:pPr>
        <w:pStyle w:val="00000c"/>
        <w:widowControl w:val="false"/>
        <w:spacing w:before="0" w:beforeAutospacing="false" w:after="0" w:afterAutospacing="false" w:line="58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（三）全面了解掌握本专业国内外最新技术与应用成果，最新科技信息和发展趋势；</w:t>
      </w:r>
    </w:p>
    <w:p>
      <w:pPr>
        <w:pStyle w:val="00000c"/>
        <w:widowControl w:val="false"/>
        <w:spacing w:before="0" w:beforeAutospacing="false" w:after="0" w:afterAutospacing="false" w:line="580" w:lineRule="exact"/>
        <w:ind w:firstLine="280" w:firstLineChars="100"/>
        <w:jc w:val="right"/>
        <w:rPr>
          <w:rFonts w:ascii="仿宋_GB2312" w:hAnsi="Calibri" w:eastAsia="仿宋_GB2312"/>
          <w:color w:val="000000"/>
          <w:kern w:val="2"/>
          <w:sz w:val="28"/>
          <w:szCs w:val="28"/>
        </w:rPr>
      </w:pPr>
      <w:r>
        <w:rPr>
          <w:rFonts w:ascii="仿宋_GB2312" w:hAnsi="Calibri" w:eastAsia="仿宋_GB2312"/>
          <w:color w:val="000000"/>
          <w:kern w:val="2"/>
          <w:sz w:val="28"/>
          <w:szCs w:val="28"/>
        </w:rPr>
        <w:t>—</w:t>
      </w:r>
      <w:r>
        <w:rPr>
          <w:rFonts w:hint="eastAsia" w:ascii="仿宋_GB2312" w:hAnsi="Calibri" w:eastAsia="仿宋_GB2312"/>
          <w:color w:val="000000"/>
          <w:kern w:val="2"/>
          <w:sz w:val="28"/>
          <w:szCs w:val="28"/>
          <w:lang w:val="en-US" w:eastAsia="zh-CN"/>
        </w:rPr>
        <w:t>4</w:t>
      </w:r>
      <w:r>
        <w:rPr>
          <w:rFonts w:ascii="仿宋_GB2312" w:hAnsi="Calibri" w:eastAsia="仿宋_GB2312"/>
          <w:color w:val="000000"/>
          <w:kern w:val="2"/>
          <w:sz w:val="28"/>
          <w:szCs w:val="28"/>
        </w:rPr>
        <w:t>—</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（四）全面掌握本专业有关的技术标准、技术规范和技术规程，具备对大型工程项目进行评估和鉴定的能力；</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（五）具备一定的技术经济评价及市场分析能力；</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（六）具备指导本专业高中级专业技术人员的能力。</w:t>
      </w:r>
    </w:p>
    <w:p>
      <w:pPr>
        <w:pStyle w:val="00000c"/>
        <w:widowControl w:val="false"/>
        <w:spacing w:before="0" w:beforeAutospacing="false" w:after="0" w:afterAutospacing="false" w:line="600" w:lineRule="exact"/>
        <w:ind w:firstLine="645"/>
        <w:jc w:val="both"/>
        <w:rPr>
          <w:rFonts w:ascii="仿宋_GB2312" w:hAnsi="Calibri" w:eastAsia="仿宋_GB2312"/>
          <w:b/>
          <w:color w:val="000000"/>
          <w:kern w:val="2"/>
          <w:sz w:val="32"/>
          <w:szCs w:val="32"/>
        </w:rPr>
      </w:pPr>
      <w:r>
        <w:rPr>
          <w:rFonts w:ascii="仿宋_GB2312" w:hAnsi="Calibri" w:eastAsia="仿宋_GB2312"/>
          <w:b/>
          <w:color w:val="000000"/>
          <w:kern w:val="2"/>
          <w:sz w:val="32"/>
          <w:szCs w:val="32"/>
        </w:rPr>
        <w:t xml:space="preserve">第十条  </w:t>
      </w:r>
      <w:r>
        <w:rPr>
          <w:rFonts w:ascii="仿宋_GB2312" w:hAnsi="Calibri" w:eastAsia="仿宋_GB2312"/>
          <w:b/>
          <w:bCs/>
          <w:color w:val="000000"/>
          <w:kern w:val="2"/>
          <w:sz w:val="32"/>
          <w:szCs w:val="32"/>
        </w:rPr>
        <w:t>专业技术工作经历与能力</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任林业专业高级工程师期间，具备下列条件之一：</w:t>
      </w:r>
    </w:p>
    <w:p>
      <w:pPr>
        <w:pStyle w:val="00000c"/>
        <w:widowControl w:val="false"/>
        <w:numPr>
          <w:ilvl w:val="0"/>
          <w:numId w:val="4"/>
        </w:numPr>
        <w:spacing w:before="0" w:beforeAutospacing="false" w:after="0" w:afterAutospacing="false" w:line="600" w:lineRule="exact"/>
        <w:ind w:firstLine="645"/>
        <w:jc w:val="both"/>
        <w:rPr>
          <w:rFonts w:ascii="仿宋_GB2312" w:hAnsi="Calibri" w:eastAsia="仿宋_GB2312"/>
          <w:color w:val="002060"/>
          <w:kern w:val="2"/>
          <w:sz w:val="32"/>
          <w:szCs w:val="32"/>
        </w:rPr>
      </w:pPr>
      <w:r>
        <w:rPr>
          <w:rFonts w:ascii="仿宋_GB2312" w:hAnsi="Calibri" w:eastAsia="仿宋_GB2312"/>
          <w:color w:val="000000"/>
          <w:kern w:val="2"/>
          <w:sz w:val="32"/>
          <w:szCs w:val="32"/>
        </w:rPr>
        <w:t>曾主持或为主承担过2项以上省（部）级重点科研项目、大型工程项目、国家级推广项目；</w:t>
      </w:r>
    </w:p>
    <w:p>
      <w:pPr>
        <w:pStyle w:val="00000c"/>
        <w:widowControl w:val="false"/>
        <w:numPr>
          <w:ilvl w:val="0"/>
          <w:numId w:val="4"/>
        </w:numPr>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曾主持省级以上重点实验室、工程技术中心工作；</w:t>
      </w:r>
    </w:p>
    <w:p>
      <w:pPr>
        <w:pStyle w:val="00000c"/>
        <w:widowControl w:val="false"/>
        <w:spacing w:before="0" w:beforeAutospacing="false" w:after="0" w:afterAutospacing="false" w:line="600" w:lineRule="exact"/>
        <w:ind w:firstLine="640" w:firstLineChars="200"/>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（三）曾主持或为主承担过3项以上省（部）级重大系列产品的研制、设计、建设、制造、安装或调试等工作，取得显著成效并获得省（部）级以上主管部门的认可；</w:t>
      </w:r>
    </w:p>
    <w:p>
      <w:pPr>
        <w:pStyle w:val="00000c"/>
        <w:widowControl w:val="false"/>
        <w:spacing w:before="0" w:beforeAutospacing="false" w:after="0" w:afterAutospacing="false" w:line="600" w:lineRule="exact"/>
        <w:ind w:firstLine="640" w:firstLineChars="200"/>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（四）曾主持或为主承担过3项以上林业重大技术系统建设或改造工程，取得显著成效并获得省（部）级以上主管部门的认可；</w:t>
      </w:r>
    </w:p>
    <w:p>
      <w:pPr>
        <w:pStyle w:val="00000c"/>
        <w:widowControl w:val="false"/>
        <w:spacing w:before="0" w:beforeAutospacing="false" w:after="0" w:afterAutospacing="false" w:line="600" w:lineRule="exact"/>
        <w:ind w:firstLine="640" w:firstLineChars="200"/>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（五）曾主持或为主编制过3项以上林业学科或林业行业技术发展规划、大型工程建设方案，成效显著并获得省（部）级以上主管部门的认可；</w:t>
      </w:r>
    </w:p>
    <w:p>
      <w:pPr>
        <w:pStyle w:val="00000c"/>
        <w:widowControl w:val="false"/>
        <w:spacing w:before="0" w:beforeAutospacing="false" w:after="0" w:afterAutospacing="false" w:line="600" w:lineRule="exact"/>
        <w:ind w:firstLine="640" w:firstLineChars="200"/>
        <w:rPr>
          <w:rFonts w:ascii="仿宋_GB2312" w:hAnsi="Calibri" w:eastAsia="仿宋_GB2312"/>
          <w:color w:val="000000"/>
          <w:kern w:val="2"/>
          <w:sz w:val="32"/>
          <w:szCs w:val="32"/>
        </w:rPr>
      </w:pPr>
      <w:r>
        <w:rPr>
          <w:rFonts w:ascii="仿宋_GB2312" w:hAnsi="Calibri" w:eastAsia="仿宋_GB2312"/>
          <w:color w:val="000000"/>
          <w:kern w:val="2"/>
          <w:sz w:val="32"/>
          <w:szCs w:val="32"/>
        </w:rPr>
        <w:t>（六）曾主持或为主完成的2个以上项目能体现了国内外最新理论或先进技术，其综合技术指标达到国内领先或国际先进水平，能解决实践中的重大技术问题，且通过专业机构验收（鉴定）</w:t>
      </w:r>
    </w:p>
    <w:p>
      <w:pPr>
        <w:pStyle w:val="00000c"/>
        <w:widowControl w:val="false"/>
        <w:spacing w:before="0" w:beforeAutospacing="false" w:after="0" w:afterAutospacing="false" w:line="580" w:lineRule="exact"/>
        <w:ind w:firstLine="7840" w:firstLineChars="2800"/>
        <w:jc w:val="both"/>
        <w:rPr>
          <w:rFonts w:ascii="仿宋_GB2312" w:eastAsia="仿宋_GB2312" w:cs="仿宋_GB2312"/>
          <w:color w:val="000000"/>
          <w:sz w:val="28"/>
          <w:szCs w:val="28"/>
          <w:lang w:bidi="ar"/>
        </w:rPr>
      </w:pPr>
      <w:r>
        <w:rPr>
          <w:rFonts w:ascii="仿宋_GB2312" w:eastAsia="仿宋_GB2312" w:cs="仿宋_GB2312"/>
          <w:color w:val="000000"/>
          <w:sz w:val="28"/>
          <w:szCs w:val="28"/>
          <w:lang w:bidi="ar"/>
        </w:rPr>
        <w:t>—</w:t>
      </w:r>
      <w:r>
        <w:rPr>
          <w:rFonts w:hint="eastAsia" w:ascii="仿宋_GB2312" w:eastAsia="仿宋_GB2312" w:cs="仿宋_GB2312"/>
          <w:color w:val="000000"/>
          <w:sz w:val="28"/>
          <w:szCs w:val="28"/>
          <w:lang w:val="en-US" w:eastAsia="zh-CN" w:bidi="ar"/>
        </w:rPr>
        <w:t>5</w:t>
      </w:r>
      <w:r>
        <w:rPr>
          <w:rFonts w:ascii="仿宋_GB2312" w:eastAsia="仿宋_GB2312" w:cs="仿宋_GB2312"/>
          <w:color w:val="000000"/>
          <w:sz w:val="28"/>
          <w:szCs w:val="28"/>
          <w:lang w:bidi="ar"/>
        </w:rPr>
        <w:t>—</w:t>
      </w:r>
    </w:p>
    <w:p>
      <w:pPr>
        <w:pStyle w:val="00000c"/>
        <w:widowControl w:val="false"/>
        <w:spacing w:before="0" w:beforeAutospacing="false" w:after="0" w:afterAutospacing="false" w:line="600" w:lineRule="exact"/>
        <w:ind/>
        <w:rPr>
          <w:rFonts w:cs="宋体"/>
          <w:color w:val="7030a0"/>
          <w:sz w:val="32"/>
          <w:szCs w:val="32"/>
        </w:rPr>
      </w:pPr>
      <w:r>
        <w:rPr>
          <w:rFonts w:ascii="仿宋_GB2312" w:hAnsi="Calibri" w:eastAsia="仿宋_GB2312"/>
          <w:color w:val="000000"/>
          <w:kern w:val="2"/>
          <w:sz w:val="32"/>
          <w:szCs w:val="32"/>
        </w:rPr>
        <w:t>或省（部）级以上主管部门的认定。</w:t>
      </w:r>
    </w:p>
    <w:p>
      <w:pPr>
        <w:pStyle w:val="00000c"/>
        <w:widowControl w:val="false"/>
        <w:spacing w:before="0" w:beforeAutospacing="false" w:after="0" w:afterAutospacing="false" w:line="600" w:lineRule="exact"/>
        <w:ind w:firstLine="641"/>
        <w:jc w:val="both"/>
        <w:rPr>
          <w:rFonts w:ascii="仿宋_GB2312" w:hAnsi="Calibri" w:eastAsia="仿宋_GB2312"/>
          <w:b/>
          <w:color w:val="000000"/>
          <w:kern w:val="2"/>
          <w:sz w:val="32"/>
          <w:szCs w:val="32"/>
        </w:rPr>
      </w:pPr>
      <w:r>
        <w:rPr>
          <w:rFonts w:ascii="仿宋_GB2312" w:hAnsi="Calibri" w:eastAsia="仿宋_GB2312"/>
          <w:b/>
          <w:color w:val="000000"/>
          <w:kern w:val="2"/>
          <w:sz w:val="32"/>
          <w:szCs w:val="32"/>
        </w:rPr>
        <w:t>第十一条  专业工作业绩要求</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任林业专业高级工程师期间，具备下列条件之一：</w:t>
      </w:r>
    </w:p>
    <w:p>
      <w:pPr>
        <w:pStyle w:val="00000c"/>
        <w:widowControl w:val="false"/>
        <w:spacing w:before="0" w:beforeAutospacing="false" w:after="0" w:afterAutospacing="false" w:line="600" w:lineRule="exact"/>
        <w:ind w:firstLine="640" w:firstLineChars="200"/>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（一）获得</w:t>
      </w:r>
      <w:r>
        <w:rPr>
          <w:rFonts w:ascii="仿宋_GB2312" w:eastAsia="仿宋_GB2312" w:cs="仿宋_GB2312"/>
          <w:color w:val="000000"/>
          <w:sz w:val="32"/>
          <w:szCs w:val="32"/>
          <w:lang w:bidi="ar"/>
        </w:rPr>
        <w:t>国家级科技成果奖</w:t>
      </w:r>
      <w:r>
        <w:rPr>
          <w:rFonts w:ascii="仿宋_GB2312" w:hAnsi="Calibri" w:eastAsia="仿宋_GB2312"/>
          <w:color w:val="000000"/>
          <w:kern w:val="2"/>
          <w:sz w:val="32"/>
          <w:szCs w:val="32"/>
        </w:rPr>
        <w:t>或</w:t>
      </w:r>
      <w:r>
        <w:rPr>
          <w:rFonts w:ascii="仿宋_GB2312" w:eastAsia="仿宋_GB2312" w:cs="仿宋_GB2312"/>
          <w:color w:val="000000"/>
          <w:sz w:val="32"/>
          <w:szCs w:val="32"/>
          <w:lang w:bidi="ar"/>
        </w:rPr>
        <w:t>省(部)级科技成果奖</w:t>
      </w:r>
      <w:r>
        <w:rPr>
          <w:rFonts w:ascii="仿宋_GB2312" w:hAnsi="Calibri" w:eastAsia="仿宋_GB2312"/>
          <w:color w:val="000000"/>
          <w:kern w:val="2"/>
          <w:sz w:val="32"/>
          <w:szCs w:val="32"/>
        </w:rPr>
        <w:t>二等奖以上的主要技术完成人；</w:t>
      </w:r>
      <w:r>
        <w:rPr>
          <w:rFonts w:ascii="仿宋_GB2312" w:eastAsia="仿宋_GB2312" w:cs="仿宋_GB2312"/>
          <w:color w:val="000000"/>
          <w:sz w:val="32"/>
          <w:szCs w:val="32"/>
          <w:lang w:bidi="ar"/>
        </w:rPr>
        <w:t>或县级以下基层人员</w:t>
      </w:r>
      <w:r>
        <w:rPr>
          <w:rFonts w:ascii="仿宋_GB2312" w:hAnsi="Calibri" w:eastAsia="仿宋_GB2312"/>
          <w:color w:val="000000"/>
          <w:kern w:val="2"/>
          <w:sz w:val="32"/>
          <w:szCs w:val="32"/>
        </w:rPr>
        <w:t>获得</w:t>
      </w:r>
      <w:r>
        <w:rPr>
          <w:rFonts w:ascii="仿宋_GB2312" w:eastAsia="仿宋_GB2312" w:cs="仿宋_GB2312"/>
          <w:color w:val="000000"/>
          <w:sz w:val="32"/>
          <w:szCs w:val="32"/>
          <w:lang w:bidi="ar"/>
        </w:rPr>
        <w:t>省(部)级科技成果奖</w:t>
      </w:r>
      <w:r>
        <w:rPr>
          <w:rFonts w:ascii="仿宋_GB2312" w:hAnsi="Calibri" w:eastAsia="仿宋_GB2312"/>
          <w:color w:val="000000"/>
          <w:kern w:val="2"/>
          <w:sz w:val="32"/>
          <w:szCs w:val="32"/>
        </w:rPr>
        <w:t>三等奖主要技术负责人；</w:t>
      </w:r>
    </w:p>
    <w:p>
      <w:pPr>
        <w:pStyle w:val="00000c"/>
        <w:widowControl w:val="false"/>
        <w:spacing w:before="0" w:beforeAutospacing="false" w:after="0" w:afterAutospacing="false" w:line="600" w:lineRule="exact"/>
        <w:ind w:firstLine="640" w:firstLineChars="200"/>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（二）作为项目负责人或主要科技（技术）负责人，主持编制并正式公布实施的国家或行业规划、技术标准1项以上或省级行业规划、技术标准2项以上；</w:t>
      </w:r>
    </w:p>
    <w:p>
      <w:pPr>
        <w:pStyle w:val="00000c"/>
        <w:widowControl w:val="false"/>
        <w:spacing w:before="0" w:beforeAutospacing="false" w:after="0" w:afterAutospacing="false" w:line="600" w:lineRule="exact"/>
        <w:ind w:firstLine="640" w:firstLineChars="200"/>
        <w:jc w:val="both"/>
        <w:rPr>
          <w:rFonts w:ascii="仿宋_GB2312" w:hAnsi="Calibri" w:eastAsia="仿宋_GB2312"/>
          <w:kern w:val="2"/>
          <w:sz w:val="32"/>
          <w:szCs w:val="32"/>
        </w:rPr>
      </w:pPr>
      <w:r>
        <w:rPr>
          <w:rFonts w:ascii="仿宋_GB2312" w:hAnsi="Calibri" w:eastAsia="仿宋_GB2312"/>
          <w:color w:val="000000"/>
          <w:kern w:val="2"/>
          <w:sz w:val="32"/>
          <w:szCs w:val="32"/>
        </w:rPr>
        <w:t>（三）获得3项以上省（部）级科技类三等奖以上，或市（局）级科技类二等奖以上，或国家级</w:t>
      </w:r>
      <w:r>
        <w:rPr>
          <w:rFonts w:ascii="仿宋_GB2312" w:eastAsia="仿宋_GB2312" w:cs="仿宋_GB2312"/>
          <w:color w:val="000000"/>
          <w:sz w:val="32"/>
          <w:szCs w:val="32"/>
          <w:lang w:bidi="ar"/>
        </w:rPr>
        <w:t>工程技术成果奖二等奖以上</w:t>
      </w:r>
      <w:r>
        <w:rPr>
          <w:rFonts w:ascii="仿宋_GB2312" w:hAnsi="Calibri" w:eastAsia="仿宋_GB2312"/>
          <w:color w:val="000000"/>
          <w:kern w:val="2"/>
          <w:sz w:val="32"/>
          <w:szCs w:val="32"/>
        </w:rPr>
        <w:t>，或</w:t>
      </w:r>
      <w:r>
        <w:rPr>
          <w:rFonts w:ascii="仿宋_GB2312" w:hAnsi="Calibri" w:eastAsia="仿宋_GB2312"/>
          <w:kern w:val="2"/>
          <w:sz w:val="32"/>
          <w:szCs w:val="32"/>
        </w:rPr>
        <w:t>省级</w:t>
      </w:r>
      <w:r>
        <w:rPr>
          <w:rFonts w:ascii="仿宋_GB2312" w:eastAsia="仿宋_GB2312" w:cs="仿宋_GB2312"/>
          <w:sz w:val="32"/>
          <w:szCs w:val="32"/>
          <w:lang w:bidi="ar"/>
        </w:rPr>
        <w:t>工程技术成果奖</w:t>
      </w:r>
      <w:r>
        <w:rPr>
          <w:rFonts w:ascii="仿宋_GB2312" w:hAnsi="Calibri" w:eastAsia="仿宋_GB2312"/>
          <w:kern w:val="2"/>
          <w:sz w:val="32"/>
          <w:szCs w:val="32"/>
        </w:rPr>
        <w:t>一等奖以上的主要技术负责人；</w:t>
      </w:r>
    </w:p>
    <w:p>
      <w:pPr>
        <w:pStyle w:val="00000c"/>
        <w:widowControl w:val="false"/>
        <w:spacing w:before="0" w:beforeAutospacing="false" w:after="0" w:afterAutospacing="false" w:line="600" w:lineRule="exact"/>
        <w:ind w:firstLine="640" w:firstLineChars="200"/>
        <w:jc w:val="both"/>
        <w:rPr>
          <w:rFonts w:cs="宋体"/>
          <w:color w:val="7030a0"/>
          <w:sz w:val="32"/>
          <w:szCs w:val="32"/>
        </w:rPr>
      </w:pPr>
      <w:r>
        <w:rPr>
          <w:rFonts w:ascii="仿宋_GB2312" w:hAnsi="Calibri" w:eastAsia="仿宋_GB2312"/>
          <w:color w:val="000000"/>
          <w:kern w:val="2"/>
          <w:sz w:val="32"/>
          <w:szCs w:val="32"/>
        </w:rPr>
        <w:t>（四）</w:t>
      </w:r>
      <w:r>
        <w:rPr>
          <w:rFonts w:ascii="仿宋_GB2312" w:eastAsia="仿宋_GB2312" w:cs="仿宋_GB2312"/>
          <w:color w:val="000000"/>
          <w:sz w:val="32"/>
          <w:szCs w:val="32"/>
        </w:rPr>
        <w:t>主持林业相关国家发明专利、国家级林木良种审定2项以上的，或新品种授权、省级林木良种审定3项以上的。</w:t>
      </w:r>
    </w:p>
    <w:p>
      <w:pPr>
        <w:pStyle w:val="00000c"/>
        <w:widowControl w:val="false"/>
        <w:spacing w:before="0" w:beforeAutospacing="false" w:after="0" w:afterAutospacing="false" w:line="600" w:lineRule="exact"/>
        <w:ind w:firstLine="641"/>
        <w:jc w:val="both"/>
        <w:rPr>
          <w:rFonts w:ascii="仿宋_GB2312" w:hAnsi="Calibri" w:eastAsia="仿宋_GB2312"/>
          <w:b/>
          <w:color w:val="ff0000"/>
          <w:kern w:val="2"/>
          <w:sz w:val="32"/>
          <w:szCs w:val="32"/>
        </w:rPr>
      </w:pPr>
      <w:r>
        <w:rPr>
          <w:rFonts w:ascii="仿宋_GB2312" w:hAnsi="Calibri" w:eastAsia="仿宋_GB2312"/>
          <w:b/>
          <w:color w:val="000000"/>
          <w:kern w:val="2"/>
          <w:sz w:val="32"/>
          <w:szCs w:val="32"/>
        </w:rPr>
        <w:t xml:space="preserve">第十二条  论文、著作条件 </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任林业专业高级工程师期间，有以下体现学术、技术水平的著作或论文之一：</w:t>
      </w:r>
    </w:p>
    <w:p>
      <w:pPr>
        <w:pStyle w:val="00000c"/>
        <w:widowControl w:val="false"/>
        <w:spacing w:before="0" w:beforeAutospacing="false" w:after="0" w:afterAutospacing="false" w:line="600" w:lineRule="exact"/>
        <w:ind w:firstLine="645"/>
        <w:jc w:val="both"/>
        <w:rPr>
          <w:rFonts w:ascii="仿宋_GB2312" w:hAnsi="Calibri" w:eastAsia="仿宋_GB2312"/>
          <w:color w:val="000000"/>
          <w:kern w:val="2"/>
          <w:sz w:val="32"/>
          <w:szCs w:val="32"/>
        </w:rPr>
      </w:pPr>
      <w:r>
        <w:rPr>
          <w:rFonts w:ascii="仿宋_GB2312" w:hAnsi="Calibri" w:eastAsia="仿宋_GB2312"/>
          <w:color w:val="000000"/>
          <w:kern w:val="2"/>
          <w:sz w:val="32"/>
          <w:szCs w:val="32"/>
        </w:rPr>
        <w:t>（一）在中文核心期刊发表本专业学术论文或正式出版林业专业有价值的学术论著、技术著作或译著（均为独著、合著第一作者或通信作者）合计2篇（部）以上；</w:t>
      </w:r>
    </w:p>
    <w:p>
      <w:pPr>
        <w:pStyle w:val="00000c"/>
        <w:widowControl w:val="false"/>
        <w:spacing w:before="0" w:beforeAutospacing="false" w:after="0" w:afterAutospacing="false" w:line="600" w:lineRule="exact"/>
        <w:ind w:firstLine="645"/>
        <w:jc w:val="both"/>
        <w:rPr>
          <w:rFonts w:ascii="仿宋_GB2312" w:hAnsi="Calibri" w:eastAsia="仿宋_GB2312"/>
          <w:kern w:val="2"/>
          <w:sz w:val="32"/>
          <w:szCs w:val="32"/>
        </w:rPr>
      </w:pPr>
      <w:r>
        <w:rPr>
          <w:rFonts w:ascii="仿宋_GB2312" w:hAnsi="Calibri" w:eastAsia="仿宋_GB2312"/>
          <w:kern w:val="2"/>
          <w:sz w:val="32"/>
          <w:szCs w:val="32"/>
        </w:rPr>
        <w:t>（二）独著或合著第一作者论文被SCI、EI等收录1篇以上。</w:t>
      </w:r>
    </w:p>
    <w:p>
      <w:pPr>
        <w:pStyle w:val="000001"/>
        <w:spacing w:after="156" w:line="580" w:lineRule="exact"/>
        <w:ind w:firstLine="280" w:firstLineChars="100"/>
        <w:jc w:val="right"/>
        <w:rPr>
          <w:rFonts w:hint="eastAsia" w:ascii="仿宋_GB2312" w:hAnsi="黑体" w:eastAsia="仿宋_GB2312" w:cs="仿宋_GB2312"/>
          <w:sz w:val="28"/>
          <w:szCs w:val="28"/>
          <w:lang w:bidi="ar"/>
        </w:rPr>
      </w:pPr>
      <w:r>
        <w:rPr>
          <w:rFonts w:hint="eastAsia" w:ascii="仿宋_GB2312" w:hAnsi="黑体" w:eastAsia="仿宋_GB2312" w:cs="仿宋_GB2312"/>
          <w:sz w:val="28"/>
          <w:szCs w:val="28"/>
          <w:lang w:bidi="ar"/>
        </w:rPr>
        <w:t>—</w:t>
      </w:r>
      <w:r>
        <w:rPr>
          <w:rFonts w:hint="eastAsia" w:ascii="仿宋_GB2312" w:hAnsi="黑体" w:eastAsia="仿宋_GB2312" w:cs="仿宋_GB2312"/>
          <w:sz w:val="28"/>
          <w:szCs w:val="28"/>
          <w:lang w:val="en-US" w:eastAsia="zh-CN" w:bidi="ar"/>
        </w:rPr>
        <w:t>6</w:t>
      </w:r>
      <w:r>
        <w:rPr>
          <w:rFonts w:hint="eastAsia" w:ascii="仿宋_GB2312" w:hAnsi="黑体" w:eastAsia="仿宋_GB2312" w:cs="仿宋_GB2312"/>
          <w:sz w:val="28"/>
          <w:szCs w:val="28"/>
          <w:lang w:bidi="ar"/>
        </w:rPr>
        <w:t>—</w:t>
      </w:r>
    </w:p>
    <w:p>
      <w:pPr>
        <w:pStyle w:val="000001"/>
        <w:spacing w:after="156" w:line="600" w:lineRule="exact"/>
        <w:ind/>
        <w:jc w:val="center"/>
        <w:rPr>
          <w:rFonts w:hint="eastAsia" w:ascii="黑体" w:hAnsi="黑体" w:eastAsia="黑体" w:cs="仿宋_GB2312"/>
          <w:sz w:val="32"/>
          <w:szCs w:val="32"/>
        </w:rPr>
      </w:pPr>
      <w:r>
        <w:rPr>
          <w:rFonts w:hint="eastAsia" w:ascii="黑体" w:hAnsi="黑体" w:eastAsia="黑体" w:cs="仿宋_GB2312"/>
          <w:sz w:val="32"/>
          <w:szCs w:val="32"/>
          <w:lang w:bidi="ar"/>
        </w:rPr>
        <w:t>第四章  附  则</w:t>
      </w:r>
    </w:p>
    <w:p>
      <w:pPr>
        <w:pStyle w:val="00000c"/>
        <w:widowControl w:val="false"/>
        <w:spacing w:before="0" w:beforeAutospacing="false" w:after="0" w:afterAutospacing="false" w:line="580" w:lineRule="exact"/>
        <w:ind w:right="-1" w:firstLine="645"/>
        <w:jc w:val="both"/>
        <w:rPr>
          <w:rFonts w:ascii="仿宋_GB2312" w:hAnsi="Calibri" w:eastAsia="仿宋_GB2312"/>
          <w:color w:val="000000"/>
          <w:kern w:val="2"/>
          <w:sz w:val="32"/>
          <w:szCs w:val="32"/>
        </w:rPr>
      </w:pPr>
      <w:r>
        <w:rPr>
          <w:rFonts w:ascii="仿宋_GB2312" w:eastAsia="仿宋_GB2312" w:cs="仿宋_GB2312"/>
          <w:b/>
          <w:color w:val="000000"/>
          <w:sz w:val="32"/>
          <w:szCs w:val="32"/>
        </w:rPr>
        <w:t xml:space="preserve">第十三条  </w:t>
      </w:r>
      <w:r>
        <w:rPr>
          <w:rFonts w:ascii="仿宋_GB2312" w:hAnsi="Calibri" w:eastAsia="仿宋_GB2312"/>
          <w:color w:val="000000"/>
          <w:kern w:val="2"/>
          <w:sz w:val="32"/>
          <w:szCs w:val="32"/>
        </w:rPr>
        <w:t>符合第六条（二）、（三）、（四）条件的评审对象，均须参加林业工程专业正高级工程师职务任职资格评审的面试答辩，面试答辩成绩作为评审的重要依据之一。其他评审对象，评委会视情进行面试答辩或实地考察。</w:t>
      </w:r>
    </w:p>
    <w:p>
      <w:pPr>
        <w:pStyle w:val="000001"/>
        <w:spacing w:line="580" w:lineRule="exact"/>
        <w:ind w:firstLine="643" w:firstLineChars="200"/>
        <w:rPr>
          <w:rFonts w:hint="eastAsia" w:ascii="仿宋_GB2312" w:eastAsia="仿宋_GB2312" w:cs="仿宋_GB2312"/>
          <w:color w:val="000000"/>
          <w:sz w:val="32"/>
          <w:szCs w:val="32"/>
        </w:rPr>
      </w:pPr>
      <w:r>
        <w:rPr>
          <w:rFonts w:hint="eastAsia" w:ascii="仿宋_GB2312" w:eastAsia="仿宋_GB2312" w:cs="仿宋_GB2312"/>
          <w:b/>
          <w:color w:val="000000"/>
          <w:sz w:val="32"/>
          <w:szCs w:val="32"/>
          <w:lang w:bidi="ar"/>
        </w:rPr>
        <w:t xml:space="preserve">第十四条  </w:t>
      </w:r>
      <w:r>
        <w:rPr>
          <w:rFonts w:hint="eastAsia" w:ascii="仿宋_GB2312" w:eastAsia="仿宋_GB2312" w:cs="仿宋_GB2312"/>
          <w:color w:val="000000"/>
          <w:sz w:val="32"/>
          <w:szCs w:val="32"/>
          <w:lang w:bidi="ar"/>
        </w:rPr>
        <w:t>本评价条件涉及的工作能力、工作业绩、科研成果、论文论著等均与林业工程专业相关联，并且为林业专业高级工程师职务后所取得，同时提供有效的相关证明材料。</w:t>
      </w:r>
    </w:p>
    <w:p>
      <w:pPr>
        <w:pStyle w:val="000001"/>
        <w:spacing w:line="580" w:lineRule="exact"/>
        <w:ind w:firstLine="643" w:firstLineChars="200"/>
        <w:rPr>
          <w:rFonts w:hint="eastAsia" w:ascii="仿宋_GB2312" w:eastAsia="仿宋_GB2312" w:cs="仿宋_GB2312"/>
          <w:color w:val="000000"/>
          <w:sz w:val="32"/>
          <w:szCs w:val="32"/>
        </w:rPr>
      </w:pPr>
      <w:r>
        <w:rPr>
          <w:rFonts w:hint="eastAsia" w:ascii="仿宋_GB2312" w:eastAsia="仿宋_GB2312" w:cs="仿宋_GB2312"/>
          <w:b/>
          <w:color w:val="000000"/>
          <w:sz w:val="32"/>
          <w:szCs w:val="32"/>
          <w:lang w:bidi="ar"/>
        </w:rPr>
        <w:t xml:space="preserve">第十五条  </w:t>
      </w:r>
      <w:r>
        <w:rPr>
          <w:rFonts w:hint="eastAsia" w:ascii="仿宋_GB2312" w:eastAsia="仿宋_GB2312" w:cs="仿宋_GB2312"/>
          <w:color w:val="000000"/>
          <w:sz w:val="32"/>
          <w:szCs w:val="32"/>
          <w:lang w:bidi="ar"/>
        </w:rPr>
        <w:t>本评价条件有关词语或概念的特定解释：</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（一）国家科学技术奖包括国家自然科学奖、国家技术发明奖、国家科学技术进步奖、星火奖及相当级别的奖励；</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（二）工程技术成果奖项包括优秀工程奖、优秀设计奖、优秀勘察奖、优秀咨询奖等；</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（三）省(部)级科技成果奖是指省政府(国务院相关部门)设立的奖项；</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（四）获奖项目的“主要科技（技术）负责人”是指完成人的前3名，“主要技术完成人”是指奖励证书所列名单，均以各类奖励的正式文件、证书为准；</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（五）“主持”、“负责人”是指科研课题或工程项目总体设计、论证的组织者、完成人的第1名，“为主”是指项目排名前3名（以项目计划任务书或有关文件为依据）；</w:t>
      </w:r>
    </w:p>
    <w:p>
      <w:pPr>
        <w:pStyle w:val="00000c"/>
        <w:widowControl w:val="false"/>
        <w:spacing w:before="0" w:beforeAutospacing="false" w:after="0" w:afterAutospacing="false" w:line="580" w:lineRule="exact"/>
        <w:ind w:firstLine="7840" w:firstLineChars="2800"/>
        <w:jc w:val="both"/>
        <w:rPr>
          <w:rFonts w:ascii="仿宋_GB2312" w:eastAsia="仿宋_GB2312" w:cs="仿宋_GB2312"/>
          <w:color w:val="000000"/>
          <w:sz w:val="28"/>
          <w:szCs w:val="28"/>
          <w:lang w:bidi="ar"/>
        </w:rPr>
      </w:pPr>
      <w:r>
        <w:rPr>
          <w:rFonts w:ascii="仿宋_GB2312" w:eastAsia="仿宋_GB2312" w:cs="仿宋_GB2312"/>
          <w:color w:val="000000"/>
          <w:sz w:val="28"/>
          <w:szCs w:val="28"/>
          <w:lang w:bidi="ar"/>
        </w:rPr>
        <w:t>—</w:t>
      </w:r>
      <w:r>
        <w:rPr>
          <w:rFonts w:hint="eastAsia" w:ascii="仿宋_GB2312" w:eastAsia="仿宋_GB2312" w:cs="仿宋_GB2312"/>
          <w:color w:val="000000"/>
          <w:sz w:val="28"/>
          <w:szCs w:val="28"/>
          <w:lang w:val="en-US" w:eastAsia="zh-CN" w:bidi="ar"/>
        </w:rPr>
        <w:t>7</w:t>
      </w:r>
      <w:r>
        <w:rPr>
          <w:rFonts w:ascii="仿宋_GB2312" w:eastAsia="仿宋_GB2312" w:cs="仿宋_GB2312"/>
          <w:color w:val="000000"/>
          <w:sz w:val="28"/>
          <w:szCs w:val="28"/>
          <w:lang w:bidi="ar"/>
        </w:rPr>
        <w:t>—</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（六）“省（部）级业务主管部门认可”是指项目完成以后，</w:t>
      </w:r>
    </w:p>
    <w:p>
      <w:pPr>
        <w:pStyle w:val="000001"/>
        <w:spacing w:line="580" w:lineRule="exact"/>
        <w:ind/>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由省（部）级业务行政主管部门授权组织的鉴定、评审、验收、评估等，须移交通过鉴定、评审、验收、评估等有关证明文件（证书、鉴定报告等）；</w:t>
      </w:r>
    </w:p>
    <w:p>
      <w:pPr>
        <w:pStyle w:val="000001"/>
        <w:spacing w:line="580" w:lineRule="exact"/>
        <w:ind w:firstLine="640" w:firstLineChars="200"/>
        <w:rPr>
          <w:rFonts w:hint="eastAsia" w:ascii="仿宋_GB2312" w:eastAsia="仿宋_GB2312" w:cs="仿宋_GB2312"/>
          <w:color w:val="000000"/>
          <w:sz w:val="32"/>
          <w:szCs w:val="32"/>
          <w:lang w:bidi="ar"/>
        </w:rPr>
      </w:pPr>
      <w:r>
        <w:rPr>
          <w:rFonts w:hint="eastAsia" w:ascii="仿宋_GB2312" w:eastAsia="仿宋_GB2312" w:cs="仿宋_GB2312"/>
          <w:color w:val="000000"/>
          <w:sz w:val="32"/>
          <w:szCs w:val="32"/>
          <w:lang w:bidi="ar"/>
        </w:rPr>
        <w:t>（七）凡冠有“以上”的，均含本级或本数量；</w:t>
      </w:r>
    </w:p>
    <w:p>
      <w:pPr>
        <w:pStyle w:val="000001"/>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lang w:bidi="ar"/>
        </w:rPr>
        <w:t>（八）“年”均为周年。</w:t>
      </w:r>
    </w:p>
    <w:p>
      <w:pPr>
        <w:pStyle w:val="000001"/>
        <w:spacing w:line="580" w:lineRule="exact"/>
        <w:ind w:firstLine="643" w:firstLineChars="200"/>
        <w:rPr>
          <w:rFonts w:hint="eastAsia" w:ascii="仿宋_GB2312" w:eastAsia="仿宋_GB2312" w:cs="仿宋_GB2312"/>
          <w:color w:val="000000"/>
          <w:sz w:val="32"/>
          <w:szCs w:val="32"/>
        </w:rPr>
      </w:pPr>
      <w:r>
        <w:rPr>
          <w:rFonts w:hint="eastAsia" w:ascii="仿宋_GB2312" w:eastAsia="仿宋_GB2312" w:cs="仿宋_GB2312"/>
          <w:b/>
          <w:color w:val="000000"/>
          <w:sz w:val="32"/>
          <w:szCs w:val="32"/>
          <w:lang w:bidi="ar"/>
        </w:rPr>
        <w:t>第十六条</w:t>
      </w:r>
      <w:r>
        <w:rPr>
          <w:rFonts w:hint="eastAsia" w:ascii="仿宋_GB2312" w:eastAsia="仿宋_GB2312" w:cs="仿宋_GB2312"/>
          <w:color w:val="000000"/>
          <w:sz w:val="32"/>
          <w:szCs w:val="32"/>
          <w:lang w:bidi="ar"/>
        </w:rPr>
        <w:t xml:space="preserve">  申报人员有下列情形之一的，取消其评审资格或取消其已经取得的任职资格，收回其资格证书，并从次年起3年内不得申报相应任职资格评审。</w:t>
      </w:r>
    </w:p>
    <w:p>
      <w:pPr>
        <w:pStyle w:val="000001"/>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lang w:bidi="ar"/>
        </w:rPr>
        <w:t>（一）伪造、变造证件、证明的；</w:t>
      </w:r>
    </w:p>
    <w:p>
      <w:pPr>
        <w:pStyle w:val="000001"/>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lang w:bidi="ar"/>
        </w:rPr>
        <w:t xml:space="preserve">（二）提交虚假申报材料的； </w:t>
      </w:r>
    </w:p>
    <w:p>
      <w:pPr>
        <w:pStyle w:val="000001"/>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lang w:bidi="ar"/>
        </w:rPr>
        <w:t>（三）有违纪违法行为，仍在处理、处分、处罚阶段或任现职期间有严重违纪违法行为受到党纪政务处分，未在申报材料中反映的；</w:t>
      </w:r>
    </w:p>
    <w:p>
      <w:pPr>
        <w:pStyle w:val="000001"/>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lang w:bidi="ar"/>
        </w:rPr>
        <w:t>（四）其他严重违反评审规定的。</w:t>
      </w:r>
    </w:p>
    <w:p>
      <w:pPr>
        <w:pStyle w:val="000001"/>
        <w:spacing w:line="580" w:lineRule="exact"/>
        <w:ind w:firstLine="643" w:firstLineChars="200"/>
        <w:rPr>
          <w:rFonts w:hint="eastAsia" w:ascii="仿宋_GB2312" w:eastAsia="仿宋_GB2312" w:cs="仿宋_GB2312"/>
          <w:color w:val="000000"/>
          <w:sz w:val="32"/>
          <w:szCs w:val="32"/>
          <w:lang w:bidi="ar"/>
        </w:rPr>
      </w:pPr>
      <w:r>
        <w:rPr>
          <w:rFonts w:hint="eastAsia" w:ascii="仿宋_GB2312" w:eastAsia="仿宋_GB2312" w:cs="仿宋_GB2312"/>
          <w:b/>
          <w:color w:val="000000"/>
          <w:sz w:val="32"/>
          <w:szCs w:val="32"/>
          <w:lang w:bidi="ar"/>
        </w:rPr>
        <w:t>第十七条</w:t>
      </w:r>
      <w:r>
        <w:rPr>
          <w:rFonts w:hint="eastAsia" w:ascii="仿宋_GB2312" w:eastAsia="仿宋_GB2312" w:cs="仿宋_GB2312"/>
          <w:color w:val="000000"/>
          <w:sz w:val="32"/>
          <w:szCs w:val="32"/>
          <w:lang w:bidi="ar"/>
        </w:rPr>
        <w:t xml:space="preserve">  本评价条件由省人力资源和社会保障厅、省林业局按职责分工负责解释。</w:t>
      </w:r>
    </w:p>
    <w:p>
      <w:pPr>
        <w:pStyle w:val="00000c"/>
        <w:widowControl w:val="false"/>
        <w:spacing w:before="0" w:beforeAutospacing="false" w:after="0" w:afterAutospacing="false" w:line="580" w:lineRule="exact"/>
        <w:ind w:firstLine="645"/>
        <w:jc w:val="both"/>
        <w:rPr>
          <w:rFonts w:ascii="仿宋_GB2312" w:hAnsi="微软雅黑" w:eastAsia="仿宋_GB2312" w:cs="仿宋_GB2312"/>
          <w:color w:val="333333"/>
          <w:sz w:val="32"/>
          <w:szCs w:val="32"/>
        </w:rPr>
      </w:pPr>
      <w:r>
        <w:rPr>
          <w:rFonts w:ascii="仿宋_GB2312" w:hAnsi="Calibri" w:eastAsia="仿宋_GB2312"/>
          <w:b/>
          <w:color w:val="000000"/>
          <w:kern w:val="2"/>
          <w:sz w:val="32"/>
          <w:szCs w:val="32"/>
        </w:rPr>
        <w:t>第</w:t>
      </w:r>
      <w:r>
        <w:rPr>
          <w:rFonts w:ascii="仿宋_GB2312" w:eastAsia="仿宋_GB2312" w:cs="仿宋_GB2312"/>
          <w:b/>
          <w:color w:val="000000"/>
          <w:sz w:val="32"/>
          <w:szCs w:val="32"/>
        </w:rPr>
        <w:t>十八</w:t>
      </w:r>
      <w:r>
        <w:rPr>
          <w:rFonts w:ascii="仿宋_GB2312" w:hAnsi="Calibri" w:eastAsia="仿宋_GB2312"/>
          <w:b/>
          <w:color w:val="000000"/>
          <w:kern w:val="2"/>
          <w:sz w:val="32"/>
          <w:szCs w:val="32"/>
        </w:rPr>
        <w:t xml:space="preserve">条  </w:t>
      </w:r>
      <w:r>
        <w:rPr>
          <w:rFonts w:ascii="仿宋_GB2312" w:eastAsia="仿宋_GB2312" w:cs="仿宋_GB2312"/>
          <w:color w:val="000000"/>
          <w:sz w:val="32"/>
          <w:szCs w:val="32"/>
        </w:rPr>
        <w:t>本评价条件自2019年10月1日起实施</w:t>
      </w:r>
      <w:r>
        <w:rPr>
          <w:rFonts w:ascii="仿宋_GB2312" w:eastAsia="仿宋_GB2312" w:cs="仿宋_GB2312"/>
          <w:color w:val="333333"/>
          <w:sz w:val="32"/>
          <w:szCs w:val="32"/>
        </w:rPr>
        <w:t>，有效期至2027年12月31日。</w:t>
      </w:r>
    </w:p>
    <w:p>
      <w:pPr>
        <w:pStyle w:val="000001"/>
        <w:spacing w:line="580" w:lineRule="exact"/>
        <w:ind/>
        <w:rPr>
          <w:rFonts w:hint="eastAsia" w:ascii="仿宋" w:hAnsi="仿宋" w:eastAsia="仿宋"/>
          <w:sz w:val="32"/>
          <w:szCs w:val="32"/>
        </w:rPr>
      </w:pPr>
    </w:p>
    <w:p>
      <w:pPr>
        <w:pStyle w:val="000001"/>
        <w:spacing w:line="600" w:lineRule="exact"/>
        <w:ind/>
        <w:rPr>
          <w:rFonts w:hint="eastAsia"/>
        </w:rPr>
      </w:pPr>
    </w:p>
    <w:p>
      <w:pPr>
        <w:pStyle w:val="000001"/>
        <w:spacing w:line="600" w:lineRule="exact"/>
        <w:ind w:firstLine="280" w:firstLineChars="100"/>
        <w:jc w:val="right"/>
        <w:rPr>
          <w:rFonts w:hint="eastAsia"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lang w:val="en-US" w:eastAsia="zh-CN"/>
        </w:rPr>
        <w:t>8</w:t>
      </w:r>
      <w:r>
        <w:rPr>
          <w:rFonts w:hint="eastAsia" w:ascii="仿宋_GB2312" w:eastAsia="仿宋_GB2312"/>
          <w:sz w:val="28"/>
          <w:szCs w:val="28"/>
        </w:rPr>
        <w:t>—</w:t>
      </w: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line="600" w:lineRule="exact"/>
        <w:ind/>
        <w:rPr>
          <w:rFonts w:hint="eastAsia" w:ascii="仿宋_GB2312" w:hAnsi="宋体" w:eastAsia="仿宋_GB2312"/>
          <w:bCs/>
          <w:color w:val="000000"/>
          <w:sz w:val="32"/>
          <w:szCs w:val="32"/>
        </w:rPr>
      </w:pPr>
    </w:p>
    <w:p>
      <w:pPr>
        <w:pStyle w:val="000001"/>
        <w:spacing w:before="468" w:line="600" w:lineRule="exact"/>
        <w:ind/>
        <w:rPr>
          <w:rFonts w:hint="eastAsia" w:ascii="仿宋_GB2312" w:hAnsi="宋体" w:eastAsia="仿宋_GB2312"/>
          <w:bCs/>
          <w:color w:val="000000"/>
          <w:sz w:val="32"/>
          <w:szCs w:val="32"/>
        </w:rPr>
      </w:pPr>
    </w:p>
    <w:p>
      <w:pPr>
        <w:pStyle w:val="000001"/>
        <w:spacing w:line="600" w:lineRule="exact"/>
        <w:ind w:firstLine="280" w:firstLineChars="100"/>
        <w:rPr>
          <w:rFonts w:hint="eastAsia" w:ascii="仿宋_GB2312" w:eastAsia="仿宋_GB2312"/>
          <w:sz w:val="28"/>
          <w:szCs w:val="28"/>
        </w:rPr>
      </w:pPr>
      <w:r>
        <w:rPr>
          <w:rFonts w:ascii="仿宋_GB2312" w:eastAsia="仿宋_GB2312"/>
          <w:sz w:val="28"/>
          <w:szCs w:val="28"/>
        </w:rPr>
        <w:pict>
          <v:shapetype id="_x0000_t20" coordsize="21600,21600" o:spt="20">
            <v:stroke joinstyle="miter"/>
            <v:path o:extrusionok="f"/>
            <o:lock v:ext="edit" aspectratio="t"/>
          </v:shapetype>
          <v:line id="_x0000_s1052" style="position:absolute;mso-wrap-style:square;mso-position-horizontal-relative:text;mso-position-vertical-relative:text;z-index:524288;" filled="f" strokeweight="1pt" from="0pt,2.9pt" to="451.5pt,2.9pt">
            <v:stroke linestyle="single"/>
          </v:line>
        </w:pict>
      </w:r>
      <w:bookmarkStart w:id="1" w:name="issueDepartment"/>
      <w:bookmarkEnd w:id="1"/>
      <w:r>
        <w:rPr>
          <w:rFonts w:hint="eastAsia" w:ascii="仿宋_GB2312" w:eastAsia="仿宋_GB2312"/>
          <w:sz w:val="28"/>
          <w:szCs w:val="28"/>
        </w:rPr>
        <w:t xml:space="preserve">浙江省林业局办公室          </w:t>
      </w:r>
      <w:bookmarkStart w:id="2" w:name="issueDate"/>
      <w:r>
        <w:rPr>
          <w:rFonts w:hint="eastAsia" w:ascii="仿宋_GB2312" w:eastAsia="仿宋_GB2312"/>
          <w:sz w:val="28"/>
          <w:szCs w:val="28"/>
        </w:rPr>
        <w:t xml:space="preserve">             2019年8月28日</w:t>
      </w:r>
      <w:bookmarkEnd w:id="2"/>
      <w:r>
        <w:rPr>
          <w:rFonts w:hint="eastAsia" w:ascii="仿宋_GB2312" w:eastAsia="仿宋_GB2312"/>
          <w:sz w:val="28"/>
          <w:szCs w:val="28"/>
        </w:rPr>
        <w:t>印发</w:t>
      </w:r>
    </w:p>
    <w:p>
      <w:pPr>
        <w:pStyle w:val="000001"/>
        <w:spacing w:before="249" w:line="600" w:lineRule="exact"/>
        <w:ind/>
        <w:rPr>
          <w:rFonts w:ascii="楷体_GB2312" w:eastAsia="楷体_GB2312"/>
          <w:sz w:val="32"/>
        </w:rPr>
      </w:pPr>
      <w:r>
        <w:rPr>
          <w:rFonts w:ascii="楷体_GB2312" w:eastAsia="楷体_GB2312"/>
          <w:sz w:val="32"/>
        </w:rPr>
        <w:pict>
          <v:shapetype id="_x0000_t20" coordsize="21600,21600" o:spt="20">
            <v:stroke joinstyle="miter"/>
            <v:path o:extrusionok="f"/>
            <o:lock v:ext="edit" aspectratio="t"/>
          </v:shapetype>
          <v:line id="_x0000_s1053" style="position:absolute;mso-wrap-style:square;mso-position-horizontal-relative:text;mso-position-vertical-relative:text;z-index:524289;" o:allowincell="f" filled="f" strokeweight="1pt" from="0pt,4.8pt" to="451.5pt,4.8pt">
            <v:stroke linestyle="single"/>
          </v:line>
        </w:pict>
      </w:r>
    </w:p>
    <w:sectPr>
      <w:footerReference r:id="rId5" w:type="even"/>
      <w:type w:val="nextPage"/>
      <w:pgSz w:w="11906" w:h="16838"/>
      <w:pgMar w:top="1928" w:right="1304" w:bottom="1531" w:left="1531" w:header="851" w:footer="1304" w:gutter="0"/>
      <w:cols/>
      <w:docGrid w:type="lines" w:linePitch="312"/>
    </w:sectPr>
  </w:body>
</w:document>
</file>

<file path=word/fontTable.xml><?xml version="1.0" encoding="utf-8"?>
<w:fonts xmlns:w="http://schemas.openxmlformats.org/wordprocessingml/2006/main">
  <w:font w:name="仿宋_GB2312">
    <w:panose1 w:val="02010609030101010101"/>
    <w:charset w:val="86" w:characterSet="ISO-8859-1"/>
    <w:family w:val="modern"/>
    <w:pitch w:val="default"/>
    <w:sig w:usb0="00000001" w:usb1="080E0000" w:usb2="00000000" w:usb3="00000000" w:csb0="00040000" w:csb1="00000000"/>
  </w:font>
  <w:font w:name="黑体">
    <w:panose1 w:val="02010609060101010101"/>
    <w:charset w:val="86" w:characterSet="ISO-8859-1"/>
    <w:family w:val="auto"/>
    <w:pitch w:val="default"/>
    <w:sig w:usb0="800002BF" w:usb1="38CF7CFA" w:usb2="00000016" w:usb3="00000000" w:csb0="00040001" w:csb1="00000000"/>
  </w:font>
  <w:font w:name="Wingdings">
    <w:panose1 w:val="05000000000000000000"/>
    <w:charset w:val="02" w:characterSet="ISO-8859-1"/>
    <w:family w:val="auto"/>
    <w:pitch w:val="default"/>
    <w:sig w:usb0="00000000" w:usb1="00000000" w:usb2="00000000" w:usb3="00000000" w:csb0="80000000" w:csb1="00000000"/>
  </w:font>
  <w:font w:name="Times New Roman">
    <w:panose1 w:val="02020603050405020304"/>
    <w:charset w:val="00" w:characterSet="ISO-8859-1"/>
    <w:family w:val="roman"/>
    <w:pitch w:val="variable"/>
    <w:sig w:usb0="20007A87" w:usb1="80000000" w:usb2="00000008" w:usb3="00000000" w:csb0="000001FF" w:csb1="00000000"/>
  </w:font>
  <w:font w:name="微软雅黑">
    <w:panose1 w:val="020b0503020204020204"/>
    <w:charset w:val="86" w:characterSet="ISO-8859-1"/>
    <w:family w:val="swiss"/>
    <w:pitch w:val="default"/>
    <w:sig w:usb0="80000287" w:usb1="280F3C52" w:usb2="00000016" w:usb3="00000000" w:csb0="0004001F" w:csb1="00000000"/>
  </w:font>
  <w:font w:name="Calibri">
    <w:panose1 w:val="020f0502020204030204"/>
    <w:charset w:val="00" w:characterSet="ISO-8859-1"/>
    <w:family w:val="swiss"/>
    <w:pitch w:val="default"/>
    <w:sig w:usb0="E00002FF" w:usb1="4000ACFF" w:usb2="00000001" w:usb3="00000000" w:csb0="2000019F" w:csb1="00000000"/>
  </w:font>
  <w:font w:name="方正小标宋简体">
    <w:panose1 w:val="02010601030101010101"/>
    <w:charset w:val="86" w:characterSet="ISO-8859-1"/>
    <w:family w:val="auto"/>
    <w:pitch w:val="default"/>
    <w:sig w:usb0="00000001" w:usb1="080E0000" w:usb2="00000000" w:usb3="00000000" w:csb0="00040000" w:csb1="00000000"/>
  </w:font>
  <w:font w:name="楷体_GB2312">
    <w:altName w:val="楷体"/>
    <w:panose1 w:val="02010609030101010101"/>
    <w:charset w:val="86" w:characterSet="ISO-8859-1"/>
    <w:family w:val="modern"/>
    <w:pitch w:val="default"/>
    <w:sig w:usb0="00000001" w:usb1="080E0000" w:usb2="00000010" w:usb3="00000000" w:csb0="00040000" w:csb1="00000000"/>
  </w:font>
  <w:font w:name="仿宋">
    <w:panose1 w:val="02010609060101010101"/>
    <w:charset w:val="86" w:characterSet="ISO-8859-1"/>
    <w:family w:val="modern"/>
    <w:pitch w:val="default"/>
    <w:sig w:usb0="800002BF" w:usb1="38CF7CFA" w:usb2="00000016" w:usb3="00000000" w:csb0="00040001" w:csb1="00000000"/>
  </w:font>
  <w:font w:name="宋体">
    <w:panose1 w:val="02010600030101010101"/>
    <w:charset w:val="86" w:characterSet="ISO-8859-1"/>
    <w:family w:val="auto"/>
    <w:pitch w:val="default"/>
    <w:sig w:usb0="00000003" w:usb1="288F0000" w:usb2="00000006" w:usb3="00000000" w:csb0="00040001" w:csb1="00000000"/>
  </w:font>
</w:fonts>
</file>

<file path=word/footer1.xml><?xml version="1.0" encoding="utf-8"?>
<w:ftr xmlns:w="http://schemas.openxmlformats.org/wordprocessingml/2006/main">
  <w:p>
    <w:pPr>
      <w:pStyle w:val="000008"/>
      <w:framePr w:wrap="around" w:hAnchor="margin" w:vAnchor="text" w:xAlign="right" w:y="1"/>
      <w:tabs>
        <w:tab w:val="clear" w:pos="4153"/>
        <w:tab w:val="clear" w:pos="8306"/>
      </w:tabs>
      <w:rPr>
        <w:rStyle w:val="PageNumber"/>
      </w:rPr>
    </w:pPr>
    <w:r>
      <w:rPr/>
      <w:fldChar w:fldCharType="begin"/>
    </w:r>
    <w:r>
      <w:rPr>
        <w:rStyle w:val="000004"/>
      </w:rPr>
      <w:instrText xml:space="preserve">PAGE  </w:instrText>
    </w:r>
    <w:r>
      <w:rPr/>
      <w:fldChar w:fldCharType="end"/>
    </w:r>
  </w:p>
  <w:p>
    <w:pPr>
      <w:pStyle w:val="000008"/>
      <w:tabs>
        <w:tab w:val="clear" w:pos="4153"/>
        <w:tab w:val="clear" w:pos="8306"/>
      </w:tabs>
      <w:ind w:right="360"/>
      <w:rPr/>
    </w:pPr>
  </w:p>
</w:ftr>
</file>

<file path=word/numbering.xml><?xml version="1.0" encoding="utf-8"?>
<w:numbering xmlns:w="http://schemas.openxmlformats.org/wordprocessingml/2006/main">
  <w:abstractNum w:abstractNumId="1">
    <w:nsid w:val="5C7E1777"/>
    <w:multiLevelType w:val="singleLevel"/>
    <w:tmpl w:val="5C7E1777"/>
    <w:lvl w:ilvl="0">
      <w:start w:val="1"/>
      <w:numFmt w:val="chineseCounting"/>
      <w:suff w:val="nothing"/>
      <w:lvlText w:val="（%1）"/>
      <w:lvlJc w:val="left"/>
      <w:pPr>
        <w:pStyle w:val="000001"/>
        <w:ind/>
      </w:pPr>
      <w:rPr/>
    </w:lvl>
  </w:abstractNum>
  <w:abstractNum w:abstractNumId="2">
    <w:nsid w:val="5C7CA0F4"/>
    <w:multiLevelType w:val="singleLevel"/>
    <w:tmpl w:val="5C7CA0F4"/>
    <w:lvl w:ilvl="0">
      <w:start w:val="1"/>
      <w:numFmt w:val="decimal"/>
      <w:suff w:val="nothing"/>
      <w:lvlText w:val="%1."/>
      <w:lvlJc w:val="left"/>
      <w:pPr>
        <w:pStyle w:val="000001"/>
        <w:ind/>
      </w:pPr>
      <w:rPr/>
    </w:lvl>
  </w:abstractNum>
  <w:abstractNum w:abstractNumId="3">
    <w:nsid w:val="5C7C9D6C"/>
    <w:multiLevelType w:val="singleLevel"/>
    <w:tmpl w:val="5C7C9D6C"/>
    <w:lvl w:ilvl="0">
      <w:start w:val="1"/>
      <w:numFmt w:val="chineseCounting"/>
      <w:suff w:val="nothing"/>
      <w:lvlText w:val="（%1）"/>
      <w:lvlJc w:val="left"/>
      <w:pPr>
        <w:pStyle w:val="000001"/>
        <w:ind/>
      </w:pPr>
      <w:rPr/>
    </w:lvl>
  </w:abstractNum>
  <w:abstractNum w:abstractNumId="4">
    <w:nsid w:val="5C7C8D54"/>
    <w:multiLevelType w:val="singleLevel"/>
    <w:tmpl w:val="5C7C8D54"/>
    <w:lvl w:ilvl="0">
      <w:start w:val="4"/>
      <w:numFmt w:val="chineseCounting"/>
      <w:suff w:val="nothing"/>
      <w:lvlText w:val="（%1）"/>
      <w:lvlJc w:val="left"/>
      <w:pPr>
        <w:pStyle w:val="000001"/>
        <w:ind/>
      </w:pPr>
      <w:rPr/>
    </w:lvl>
  </w:abstractNum>
  <w:num w:numId="1">
    <w:abstractNumId w:val="4"/>
  </w:num>
  <w:num w:numId="4">
    <w:abstractNumId w:val="1"/>
  </w:num>
  <w:num w:numId="2">
    <w:abstractNumId w:val="3"/>
  </w:num>
  <w:num w:numId="3">
    <w:abstractNumId w:val="2"/>
  </w:num>
</w:numbering>
</file>

<file path=word/settings.xml><?xml version="1.0" encoding="utf-8"?>
<w:settings xmlns:w="http://schemas.openxmlformats.org/wordprocessingml/2006/main">
  <w:zoom w:percent="100"/>
  <w:stylePaneFormatFilter/>
  <w:defaultTabStop w:val="420"/>
  <w:displayHorizontalDrawingGridEvery w:val="0"/>
  <w:displayVerticalDrawingGridEvery w:val="2"/>
  <w:characterSpacingControl w:val="compressPunctuation"/>
  <w:footnotePr/>
  <w:endnotePr/>
  <w:compat>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settings>
</file>

<file path=word/styles.xml><?xml version="1.0" encoding="utf-8"?>
<w:styles xmlns:w="http://schemas.openxmlformats.org/wordprocessingml/2006/main">
  <w:docDefaults>
    <w:rPrDefault>
      <w:rPr>
        <w:rFonts w:ascii="Times New Roman" w:hAnsi="Times New Roman" w:eastAsia="宋体" w:cs="Times New Roman"/>
        <w:kern w:val="2"/>
        <w:sz w:val="21"/>
        <w:szCs w:val="22"/>
        <w:u/>
        <w:lang w:val="en-US"/>
      </w:rPr>
    </w:rPrDefault>
    <w:pPrDefault>
      <w:pPr>
        <w:tabs/>
        <w:autoSpaceDE/>
        <w:autoSpaceDN/>
        <w:snapToGrid/>
        <w:spacing/>
        <w:ind/>
      </w:pPr>
    </w:pPrDefault>
  </w:docDefaults>
  <w:style w:type="table" w:styleId="000003">
    <w:name w:val="Normal Table"/>
    <w:next w:val="000003"/>
    <w:link w:val="000001"/>
    <w:uiPriority w:val="99"/>
    <w:unhideWhenUsed/>
  </w:style>
  <w:style w:type="paragraph" w:styleId="000006">
    <w:name w:val="header"/>
    <w:basedOn w:val="000001"/>
    <w:next w:val="000006"/>
    <w:link w:val="000005"/>
    <w:uiPriority w:val="99"/>
    <w:unhideWhenUsed/>
    <w:pPr>
      <w:pBdr>
        <w:bottom w:val="single" w:color="000000" w:sz="6" w:space="1"/>
      </w:pBdr>
      <w:tabs>
        <w:tab w:val="center" w:leader="none" w:pos="4153"/>
        <w:tab w:val="right" w:leader="none" w:pos="8306"/>
      </w:tabs>
      <w:jc w:val="center"/>
    </w:pPr>
    <w:rPr>
      <w:sz w:val="18"/>
      <w:szCs w:val="18"/>
    </w:rPr>
  </w:style>
  <w:style w:type="character" w:styleId="000009">
    <w:name w:val="批注框文本 Char"/>
    <w:next w:val="000009"/>
    <w:link w:val="00000a"/>
    <w:uiPriority w:val="99"/>
    <w:semiHidden/>
    <w:rPr>
      <w:kern w:val="2"/>
      <w:sz w:val="18"/>
      <w:szCs w:val="18"/>
    </w:rPr>
  </w:style>
  <w:style w:type="paragraph" w:styleId="00000c">
    <w:name w:val="Normal (Web)"/>
    <w:basedOn w:val="000001"/>
    <w:next w:val="00000c"/>
    <w:link w:val="000001"/>
    <w:qFormat/>
    <w:pPr>
      <w:widowControl/>
      <w:spacing w:before="100" w:beforeAutospacing="true" w:after="100" w:afterAutospacing="true"/>
      <w:jc w:val="left"/>
    </w:pPr>
    <w:rPr>
      <w:rFonts w:hint="eastAsia" w:ascii="宋体" w:hAnsi="宋体"/>
      <w:kern w:val="0"/>
      <w:sz w:val="24"/>
    </w:rPr>
  </w:style>
  <w:style w:type="paragraph" w:styleId="00000b">
    <w:name w:val="Date"/>
    <w:basedOn w:val="000001"/>
    <w:next w:val="000001"/>
    <w:link w:val="000001"/>
    <w:rPr>
      <w:rFonts w:ascii="楷体_GB2312" w:eastAsia="楷体_GB2312"/>
      <w:sz w:val="32"/>
      <w:szCs w:val="20"/>
    </w:rPr>
  </w:style>
  <w:style w:type="paragraph" w:styleId="00000a">
    <w:name w:val="Balloon Text"/>
    <w:basedOn w:val="000001"/>
    <w:next w:val="00000a"/>
    <w:link w:val="000009"/>
    <w:uiPriority w:val="99"/>
    <w:unhideWhenUsed/>
    <w:rPr>
      <w:sz w:val="18"/>
      <w:szCs w:val="18"/>
    </w:rPr>
  </w:style>
  <w:style w:type="paragraph" w:styleId="000001">
    <w:name w:val="Normal"/>
    <w:aliases w:val="正文"/>
    <w:next w:val="000001"/>
    <w:link w:val="000001"/>
    <w:qFormat/>
    <w:pPr>
      <w:widowControl w:val="false"/>
      <w:jc w:val="both"/>
    </w:pPr>
    <w:rPr>
      <w:kern w:val="2"/>
      <w:sz w:val="21"/>
      <w:szCs w:val="24"/>
      <w:lang w:val="en-US" w:eastAsia="zh-CN" w:bidi="ar-SA"/>
    </w:rPr>
  </w:style>
  <w:style w:type="character" w:styleId="000002">
    <w:name w:val="Default Paragraph Font"/>
    <w:next w:val="000002"/>
    <w:link w:val="000001"/>
    <w:semiHidden/>
  </w:style>
  <w:style w:type="character" w:styleId="000004">
    <w:name w:val="page number"/>
    <w:basedOn w:val="000002"/>
    <w:next w:val="000004"/>
    <w:link w:val="000001"/>
    <w:semiHidden/>
  </w:style>
  <w:style w:type="character" w:styleId="000007">
    <w:name w:val="页脚 Char"/>
    <w:next w:val="000007"/>
    <w:link w:val="000008"/>
    <w:uiPriority w:val="99"/>
    <w:rPr>
      <w:kern w:val="2"/>
      <w:sz w:val="18"/>
      <w:szCs w:val="18"/>
    </w:rPr>
  </w:style>
  <w:style w:type="character" w:styleId="000005">
    <w:name w:val="页眉 Char"/>
    <w:next w:val="000005"/>
    <w:link w:val="000006"/>
    <w:uiPriority w:val="99"/>
    <w:semiHidden/>
    <w:rPr>
      <w:kern w:val="2"/>
      <w:sz w:val="18"/>
      <w:szCs w:val="18"/>
    </w:rPr>
  </w:style>
  <w:style w:type="paragraph" w:styleId="000008">
    <w:name w:val="footer"/>
    <w:basedOn w:val="000001"/>
    <w:next w:val="000008"/>
    <w:link w:val="000007"/>
    <w:uiPriority w:val="99"/>
    <w:pPr>
      <w:tabs>
        <w:tab w:val="center" w:leader="none" w:pos="4153"/>
        <w:tab w:val="right" w:leader="none" w:pos="8306"/>
      </w:tabs>
      <w:jc w:val="left"/>
    </w:pPr>
    <w:rPr>
      <w:sz w:val="18"/>
      <w:szCs w:val="18"/>
    </w:rPr>
  </w:style>
</w:styles>
</file>

<file path=word/_rels/document.xml.rels><?xml version="1.0" encoding="UTF-8" standalone="yes"?><Relationships xmlns="http://schemas.openxmlformats.org/package/2006/relationships"><Relationship Id="rId5" Type="http://schemas.openxmlformats.org/officeDocument/2006/relationships/footer" Target="footer1.xml" /><Relationship Id="rId0" Type="http://schemas.openxmlformats.org/officeDocument/2006/relationships/styles" Target="styles.xml" /><Relationship Id="rId1" Type="http://schemas.openxmlformats.org/officeDocument/2006/relationships/settings" Target="settings.xml" /><Relationship Id="rId2" Type="http://schemas.openxmlformats.org/officeDocument/2006/relationships/fontTable" Target="fontTable.xml" /><Relationship Id="rId4" Type="http://schemas.openxmlformats.org/officeDocument/2006/relationships/numbering" Target="numbering.xml" /><Relationship Id="rId3" Type="http://schemas.openxmlformats.org/officeDocument/2006/relationships/theme" Target="theme/theme1.xml" /></Relationships>
</file>

<file path=word/theme/theme1.xml><?xml version="1.0" encoding="utf-8"?>
<a:theme xmlns:a="http://schemas.openxmlformats.org/drawingml/2006/main" xmlns:thm15="http://schemas.microsoft.com/office/thememl/2012/main" xmlns:mc="http://schemas.openxmlformats.org/markup-compatibility/2006" name="Office 主题​​" mc:Ignorable="thm15">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Application>Tencent office</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2026-06-23T17:27:24Z</dcterms:created>
  <dcterms:modified xsi:type="dcterms:W3CDTF">2026-06-23T17:27:24Z</dcterms:modified>
</cp:coreProperties>
</file>